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51" w:rsidRPr="00DC2E6A" w:rsidRDefault="00DC5551" w:rsidP="00DC5551">
      <w:pPr>
        <w:pStyle w:val="a3"/>
        <w:numPr>
          <w:ilvl w:val="0"/>
          <w:numId w:val="6"/>
        </w:numPr>
        <w:jc w:val="both"/>
        <w:rPr>
          <w:rStyle w:val="a4"/>
          <w:rFonts w:ascii="Century" w:hAnsi="Century"/>
          <w:color w:val="auto"/>
          <w:sz w:val="24"/>
          <w:szCs w:val="24"/>
        </w:rPr>
      </w:pPr>
      <w:r w:rsidRPr="00DC2E6A">
        <w:rPr>
          <w:rStyle w:val="a4"/>
          <w:rFonts w:ascii="Century" w:hAnsi="Century"/>
          <w:color w:val="auto"/>
          <w:sz w:val="24"/>
          <w:szCs w:val="24"/>
        </w:rPr>
        <w:t xml:space="preserve">Τι είναι η Εισαγγελία Ανηλίκων – Ποιος ο ρόλος του Εισαγγελέα Ανηλίκων  </w:t>
      </w:r>
    </w:p>
    <w:p w:rsidR="00DC5551" w:rsidRDefault="00DC5551" w:rsidP="00DC5551">
      <w:pPr>
        <w:pStyle w:val="a3"/>
        <w:numPr>
          <w:ilvl w:val="0"/>
          <w:numId w:val="1"/>
        </w:numPr>
        <w:jc w:val="both"/>
        <w:rPr>
          <w:rFonts w:ascii="Century" w:hAnsi="Century"/>
          <w:sz w:val="24"/>
          <w:szCs w:val="24"/>
        </w:rPr>
      </w:pPr>
      <w:r w:rsidRPr="004D1810">
        <w:rPr>
          <w:rFonts w:ascii="Century" w:hAnsi="Century"/>
          <w:sz w:val="24"/>
          <w:szCs w:val="24"/>
        </w:rPr>
        <w:t>Το Τμήμα Ανηλίκων, μία ξεχωριστή και εν μέρει αυτοτελής υπηρεσία της εκάστοτε Εισαγγελίας Πρωτοδικών, αποτελεί το βασ</w:t>
      </w:r>
      <w:r>
        <w:rPr>
          <w:rFonts w:ascii="Century" w:hAnsi="Century"/>
          <w:sz w:val="24"/>
          <w:szCs w:val="24"/>
        </w:rPr>
        <w:t>ικό εγγυητή των δικαιωμάτων των ανηλίκων</w:t>
      </w:r>
      <w:r w:rsidRPr="004D1810">
        <w:rPr>
          <w:rFonts w:ascii="Century" w:hAnsi="Century"/>
          <w:sz w:val="24"/>
          <w:szCs w:val="24"/>
        </w:rPr>
        <w:t>. Διαδραματίζει έναν σημαντικό προληπτικό και εγγυητικό ρόλο στον κοινωνικό τομέα, καθώς έχει τον ρόλο του συντονιστή της εφαρμογής της προνοιακής πολιτειακής μέριμνας για τον ανήλικο</w:t>
      </w:r>
      <w:r>
        <w:rPr>
          <w:rFonts w:ascii="Century" w:hAnsi="Century"/>
          <w:sz w:val="24"/>
          <w:szCs w:val="24"/>
        </w:rPr>
        <w:t>, ενώ κρίσιμος είναι και ο κατασταλτικός του ρόλος</w:t>
      </w:r>
      <w:r w:rsidRPr="004D1810">
        <w:rPr>
          <w:rFonts w:ascii="Century" w:hAnsi="Century"/>
          <w:sz w:val="24"/>
          <w:szCs w:val="24"/>
        </w:rPr>
        <w:t>.</w:t>
      </w:r>
    </w:p>
    <w:p w:rsidR="00DC5551" w:rsidRPr="007D14A9" w:rsidRDefault="00DC5551" w:rsidP="00DC5551">
      <w:pPr>
        <w:jc w:val="both"/>
        <w:rPr>
          <w:rFonts w:ascii="Century" w:hAnsi="Century"/>
          <w:sz w:val="24"/>
          <w:szCs w:val="24"/>
        </w:rPr>
      </w:pPr>
      <w:r w:rsidRPr="007D14A9">
        <w:rPr>
          <w:rFonts w:ascii="Century" w:hAnsi="Century"/>
          <w:sz w:val="24"/>
          <w:szCs w:val="24"/>
        </w:rPr>
        <w:t xml:space="preserve">Ο Εισαγγελέας Ανηλίκων ασχολείται τόσο με τον ανήλικο θύμα, καθώς ο ανήλικος αποτελεί αντικείμενο ειδικής προστασίας από το ποινικό μας δίκαιο και η ανηλικότητα αναγνωρίζεται και προστατεύεται ως αυτοτελές έννομο αγαθό όσο και με τον ανήλικο θύτη, όπου με μια σειρά διατάξεων και με επικρατούσα την ιδέα της ειδικής πρόληψης και θεραπείας αντιμετωπίζεται κατά τρόπο διαφορετικό από τους ενήλικους δράστες, δικάζεται σε ειδικά δικαστήρια, ήτοι τα ΜονΔικΑν, που λειτούργησαν για πρώτη φορά στην Αθήνα το 1940 και τα ΤριμΔικΑν, που ιδρύθηκαν δέκα χρόνια αργότερα με τον ΚΠΔ για την εκδίκαση των σοβαρότερων ποινικών αδικημάτων και από δικαστές και εισαγγελείς ανηλίκων, που καλούνται να ασκήσουν ένα ιδιαίτερα δύσκολο και λεπτό λειτούργημα, αφού καλούνται να είναι ταυτόχρονα και δικαστές/εισαγγελείς και παιδαγωγοί. Ο ανήλικος βιώνει στο πρόσωπο του Εισαγγελέα Ανηλίκων μία από τις πρώτες του επαφές με το σύστημα δικαιοσύνης της πολιτείας και η επαφή αυτή θα πρέπει να διαμορφωθεί έτσι, ώστε να επηρεάσει εποικοδομητικά τη μετέπειτα ζωή του. </w:t>
      </w:r>
    </w:p>
    <w:p w:rsidR="00DC5551" w:rsidRPr="00DC2E6A" w:rsidRDefault="00DC5551" w:rsidP="00DC5551">
      <w:pPr>
        <w:pStyle w:val="a3"/>
        <w:numPr>
          <w:ilvl w:val="0"/>
          <w:numId w:val="5"/>
        </w:numPr>
        <w:jc w:val="both"/>
        <w:rPr>
          <w:rFonts w:ascii="Century" w:hAnsi="Century"/>
          <w:b/>
          <w:caps/>
          <w:sz w:val="24"/>
          <w:szCs w:val="24"/>
        </w:rPr>
      </w:pPr>
      <w:r w:rsidRPr="00DC2E6A">
        <w:rPr>
          <w:rFonts w:ascii="Century" w:hAnsi="Century"/>
          <w:b/>
          <w:caps/>
          <w:sz w:val="24"/>
          <w:szCs w:val="24"/>
        </w:rPr>
        <w:t>Ποιες είναι οι περιπτώσεις εκείνες ανηλίκων με τις οποίες ασχολείται η Εισαγγελία Ανηλίκων</w:t>
      </w:r>
    </w:p>
    <w:p w:rsidR="00DC5551" w:rsidRPr="00EB6C55" w:rsidRDefault="00DC5551" w:rsidP="00DC5551">
      <w:pPr>
        <w:pStyle w:val="a3"/>
        <w:numPr>
          <w:ilvl w:val="0"/>
          <w:numId w:val="1"/>
        </w:numPr>
        <w:jc w:val="both"/>
        <w:rPr>
          <w:rFonts w:ascii="Century" w:hAnsi="Century"/>
          <w:i/>
          <w:sz w:val="24"/>
          <w:szCs w:val="24"/>
        </w:rPr>
      </w:pPr>
      <w:r w:rsidRPr="00EB6C55">
        <w:rPr>
          <w:rFonts w:ascii="Century" w:hAnsi="Century"/>
          <w:sz w:val="24"/>
          <w:szCs w:val="24"/>
        </w:rPr>
        <w:t>Ανήλικοι σε κίνδυνο</w:t>
      </w:r>
      <w:r>
        <w:rPr>
          <w:rFonts w:ascii="Century" w:hAnsi="Century"/>
          <w:sz w:val="24"/>
          <w:szCs w:val="24"/>
        </w:rPr>
        <w:t xml:space="preserve"> - π</w:t>
      </w:r>
      <w:r w:rsidRPr="00EB6C55">
        <w:rPr>
          <w:rFonts w:ascii="Century" w:hAnsi="Century"/>
          <w:sz w:val="24"/>
          <w:szCs w:val="24"/>
        </w:rPr>
        <w:t>εριπτώσεις κακής άσκησης της γονικής μέριμνας και της επιμέλειας</w:t>
      </w:r>
    </w:p>
    <w:p w:rsidR="00DC5551" w:rsidRPr="00EB6C55" w:rsidRDefault="00DC5551" w:rsidP="00DC5551">
      <w:pPr>
        <w:jc w:val="both"/>
        <w:rPr>
          <w:rFonts w:ascii="Century" w:hAnsi="Century"/>
          <w:sz w:val="24"/>
          <w:szCs w:val="24"/>
        </w:rPr>
      </w:pPr>
      <w:r w:rsidRPr="00EB6C55">
        <w:rPr>
          <w:rFonts w:ascii="Century" w:hAnsi="Century"/>
          <w:sz w:val="24"/>
          <w:szCs w:val="24"/>
        </w:rPr>
        <w:t xml:space="preserve">Πρόκειται για περιπτώσεις παιδιών κακοποιημένων, εγκαταλειμμένων, βρεφών τοξικομανών γονέων. Οι περιπτώσεις αυτές γίνονται γνωστές στην Εισαγγελία κατόπιν καταγγελιών φορέων ή αναφορικά με τις γεννήσεις βρεφών τοξικομανών γονέων κατόπιν αποστολής ενημερωτικών σημειωμάτων από κοινωνικούς λειτουργούς των νοσοκομείων, </w:t>
      </w:r>
      <w:r>
        <w:rPr>
          <w:rFonts w:ascii="Century" w:hAnsi="Century"/>
          <w:sz w:val="24"/>
          <w:szCs w:val="24"/>
        </w:rPr>
        <w:t xml:space="preserve">οπότε </w:t>
      </w:r>
      <w:r w:rsidRPr="00EB6C55">
        <w:rPr>
          <w:rFonts w:ascii="Century" w:hAnsi="Century"/>
          <w:sz w:val="24"/>
          <w:szCs w:val="24"/>
        </w:rPr>
        <w:t>διατάσσεται αμέσως κοινωνική έρευνα, ώστε να αποφασιστεί η άμεση απομάκρυνση του παιδιού από το περιβάλλον και η αφαίρεση της γονικής μέριμνας ή της επιμέλειας με έκδοση διάταξης του άρθρου 1532 του ΑΚ.</w:t>
      </w:r>
      <w:r>
        <w:rPr>
          <w:rFonts w:ascii="Century" w:hAnsi="Century"/>
          <w:sz w:val="24"/>
          <w:szCs w:val="24"/>
        </w:rPr>
        <w:t xml:space="preserve"> Στις περιπτώσεις αυτές ερευνούμε το ενδεχόμενο ύπαρξης υποστηρικτικού ευρύτερου οικογενειακού περιβάλλοντος, παππούδες, θείοι, στους οποίους αναθέτουμε την επιμέλεια ή και τη γονική μέριμνα ενίοτε των ανηλίκων, άλλως αναθέτουμε αυτές στα ιδρύματα, που υπάρχουν για το σκοπό αυτό ανάλογα με την ηλικία των ανηλίκων και τα ιδιαίτερα χαρακτηριστικά της κάθε περίπτωσης.</w:t>
      </w:r>
      <w:r w:rsidRPr="00EB6C55">
        <w:rPr>
          <w:rFonts w:ascii="Century" w:hAnsi="Century"/>
          <w:sz w:val="24"/>
          <w:szCs w:val="24"/>
        </w:rPr>
        <w:t xml:space="preserve">  </w:t>
      </w:r>
    </w:p>
    <w:p w:rsidR="00DC5551" w:rsidRDefault="00DC5551" w:rsidP="00DC5551">
      <w:pPr>
        <w:pStyle w:val="a3"/>
        <w:numPr>
          <w:ilvl w:val="0"/>
          <w:numId w:val="1"/>
        </w:numPr>
        <w:jc w:val="both"/>
        <w:rPr>
          <w:rFonts w:ascii="Century" w:hAnsi="Century"/>
          <w:sz w:val="24"/>
          <w:szCs w:val="24"/>
        </w:rPr>
      </w:pPr>
      <w:r>
        <w:rPr>
          <w:rFonts w:ascii="Century" w:hAnsi="Century"/>
          <w:sz w:val="24"/>
          <w:szCs w:val="24"/>
        </w:rPr>
        <w:lastRenderedPageBreak/>
        <w:t>Περιπτώσεις π</w:t>
      </w:r>
      <w:r w:rsidRPr="00AE7C15">
        <w:rPr>
          <w:rFonts w:ascii="Century" w:hAnsi="Century"/>
          <w:sz w:val="24"/>
          <w:szCs w:val="24"/>
        </w:rPr>
        <w:t>λημμελ</w:t>
      </w:r>
      <w:r>
        <w:rPr>
          <w:rFonts w:ascii="Century" w:hAnsi="Century"/>
          <w:sz w:val="24"/>
          <w:szCs w:val="24"/>
        </w:rPr>
        <w:t>ού</w:t>
      </w:r>
      <w:r w:rsidRPr="00AE7C15">
        <w:rPr>
          <w:rFonts w:ascii="Century" w:hAnsi="Century"/>
          <w:sz w:val="24"/>
          <w:szCs w:val="24"/>
        </w:rPr>
        <w:t>ς άσκηση</w:t>
      </w:r>
      <w:r>
        <w:rPr>
          <w:rFonts w:ascii="Century" w:hAnsi="Century"/>
          <w:sz w:val="24"/>
          <w:szCs w:val="24"/>
        </w:rPr>
        <w:t>ς</w:t>
      </w:r>
      <w:r w:rsidRPr="00AE7C15">
        <w:rPr>
          <w:rFonts w:ascii="Century" w:hAnsi="Century"/>
          <w:sz w:val="24"/>
          <w:szCs w:val="24"/>
        </w:rPr>
        <w:t xml:space="preserve"> γονικής μέριμνας και επιμέλειας</w:t>
      </w:r>
    </w:p>
    <w:p w:rsidR="00DC5551" w:rsidRDefault="00DC5551" w:rsidP="00DC5551">
      <w:pPr>
        <w:jc w:val="both"/>
        <w:rPr>
          <w:rFonts w:ascii="Century" w:hAnsi="Century"/>
          <w:sz w:val="24"/>
          <w:szCs w:val="24"/>
        </w:rPr>
      </w:pPr>
      <w:r>
        <w:rPr>
          <w:rFonts w:ascii="Century" w:hAnsi="Century"/>
          <w:sz w:val="24"/>
          <w:szCs w:val="24"/>
        </w:rPr>
        <w:t>Οι</w:t>
      </w:r>
      <w:r w:rsidRPr="00F675CD">
        <w:rPr>
          <w:rFonts w:ascii="Century" w:hAnsi="Century"/>
          <w:sz w:val="24"/>
          <w:szCs w:val="24"/>
        </w:rPr>
        <w:t xml:space="preserve"> περιπτώσεις αυτές</w:t>
      </w:r>
      <w:r>
        <w:rPr>
          <w:rFonts w:ascii="Century" w:hAnsi="Century"/>
          <w:sz w:val="24"/>
          <w:szCs w:val="24"/>
        </w:rPr>
        <w:t xml:space="preserve"> μπορούν να διακριθούν περαιτέρω σε δύο κατηγορίες: στην πρώτη κατηγορία εντάσσονται οι περιπτώσεις</w:t>
      </w:r>
      <w:r w:rsidRPr="00F675CD">
        <w:rPr>
          <w:rFonts w:ascii="Century" w:hAnsi="Century"/>
          <w:sz w:val="24"/>
          <w:szCs w:val="24"/>
        </w:rPr>
        <w:t xml:space="preserve"> καταγγελιών, που μας διαβιβάζονται ως ανώνυμες κυρίως από τον εθελοντικό οργανισμό «Το χαμόγελο του παιδιού»</w:t>
      </w:r>
      <w:r>
        <w:rPr>
          <w:rFonts w:ascii="Century" w:hAnsi="Century"/>
          <w:sz w:val="24"/>
          <w:szCs w:val="24"/>
        </w:rPr>
        <w:t>, όπου και</w:t>
      </w:r>
      <w:r w:rsidRPr="00F675CD">
        <w:rPr>
          <w:rFonts w:ascii="Century" w:hAnsi="Century"/>
          <w:sz w:val="24"/>
          <w:szCs w:val="24"/>
        </w:rPr>
        <w:t xml:space="preserve"> διατάσσεται</w:t>
      </w:r>
      <w:r>
        <w:rPr>
          <w:rFonts w:ascii="Century" w:hAnsi="Century"/>
          <w:sz w:val="24"/>
          <w:szCs w:val="24"/>
        </w:rPr>
        <w:t xml:space="preserve"> άμεσα</w:t>
      </w:r>
      <w:r w:rsidRPr="00F675CD">
        <w:rPr>
          <w:rFonts w:ascii="Century" w:hAnsi="Century"/>
          <w:sz w:val="24"/>
          <w:szCs w:val="24"/>
        </w:rPr>
        <w:t xml:space="preserve"> κοινωνική έρευνα για τη διαπίστωση των συνθηκών διαβίωσης των ανηλίκων και εν συνεχεία</w:t>
      </w:r>
      <w:r>
        <w:rPr>
          <w:rFonts w:ascii="Century" w:hAnsi="Century"/>
          <w:sz w:val="24"/>
          <w:szCs w:val="24"/>
        </w:rPr>
        <w:t>, εφόσον διαπιστωθεί με βάση την έκθεση κοινωνικής έρευνας που αποστέλλει ο εκάστοτε κοινωνικός λειτουργός στην Εισαγγελία, ότι</w:t>
      </w:r>
      <w:r w:rsidRPr="00F675CD">
        <w:rPr>
          <w:rFonts w:ascii="Century" w:hAnsi="Century"/>
          <w:sz w:val="24"/>
          <w:szCs w:val="24"/>
        </w:rPr>
        <w:t xml:space="preserve"> δεν συντρέχει περίπτωση κακής άσκησης της γονικής μέριμνας και άρα αφαίρεσης της επιμέλειας ή της γονικής μέριμνας, </w:t>
      </w:r>
      <w:r>
        <w:rPr>
          <w:rFonts w:ascii="Century" w:hAnsi="Century"/>
          <w:sz w:val="24"/>
          <w:szCs w:val="24"/>
        </w:rPr>
        <w:t xml:space="preserve">αλλά η οικογένεια χρειάζεται στήριξη από τις αρμόδιες κοινωνικές υπηρεσίες του εκάστοτε Δήμου, </w:t>
      </w:r>
      <w:r w:rsidRPr="00F675CD">
        <w:rPr>
          <w:rFonts w:ascii="Century" w:hAnsi="Century"/>
          <w:sz w:val="24"/>
          <w:szCs w:val="24"/>
        </w:rPr>
        <w:t>ο Εισαγγελέας Ανηλίκων έρχεται σε προσωπική επαφή με τους γονείς των ανηλίκων, πολλές φορές και με τα ίδια τα ανήλικα</w:t>
      </w:r>
      <w:r>
        <w:rPr>
          <w:rFonts w:ascii="Century" w:hAnsi="Century"/>
          <w:sz w:val="24"/>
          <w:szCs w:val="24"/>
        </w:rPr>
        <w:t xml:space="preserve"> και διατάσσει την παρακολούθηση και στήριξη της οικογένειας από άποψη τόσο ψυχολογική (που παρέχεται από τους ψυχολόγους και τους κοινωνικούς λειτουργούς) όσο και οικονομική (που παρέχεται μέσω των κοινωνικών παντοπωλείων αλλά και άλλων</w:t>
      </w:r>
      <w:r w:rsidRPr="00F675CD">
        <w:rPr>
          <w:rFonts w:ascii="Century" w:hAnsi="Century"/>
          <w:sz w:val="24"/>
          <w:szCs w:val="24"/>
        </w:rPr>
        <w:t xml:space="preserve"> </w:t>
      </w:r>
      <w:r>
        <w:rPr>
          <w:rFonts w:ascii="Century" w:hAnsi="Century"/>
          <w:sz w:val="24"/>
          <w:szCs w:val="24"/>
        </w:rPr>
        <w:t>υπηρεσιών, όπως παροχή δωρεάν μαθημάτων στους ανήλικους μαθητές ή άλλων κοινωνικών δραστηριοτήτων). Στη δεύτερη κατηγορία εντάσσονται οι περιπτώσεις όπου ο ένας γονέας, σε περιπτώσεις κυρίως διαζευγμένων γονέων, επισκέπτεται την Εισαγγελία Ανηλίκων, για να καταγγείλει, εντός και εκτός εισαγωγικών τον/ην πρώην σύζυγο ως υπαίτιο για την προβληματική συμπεριφορά που παρουσιάζει το ανήλικο τέκνο τους. Συνηθέστερες περιπτώσεις είναι αυτές όπου ο ένας γονέας καταγγέλλει ότι ο άλλος γονέας δεν τηρεί τη δικαστική απόφαση που έχει εκδοθεί και παρεμποδίζει την επικοινωνία του με το ανήλικο δημιουργώντας του ψυχολογικά προβλήματα, ότι ο άλλος γονέας δεν έχει την πρέπουσα συμπεριφορά  απέναντι στο παιδί και επίσης του δημιουργεί προβλήματα, ότι ο άλλος γονέας……, ότι ο άλλος γονέας…, αλλά ποτέ ο ίδιος.</w:t>
      </w:r>
      <w:r w:rsidRPr="00B95197">
        <w:rPr>
          <w:rFonts w:ascii="Century" w:hAnsi="Century"/>
          <w:sz w:val="24"/>
          <w:szCs w:val="24"/>
        </w:rPr>
        <w:t xml:space="preserve"> </w:t>
      </w:r>
      <w:r>
        <w:rPr>
          <w:rFonts w:ascii="Century" w:hAnsi="Century"/>
          <w:sz w:val="24"/>
          <w:szCs w:val="24"/>
        </w:rPr>
        <w:t xml:space="preserve">Αυτό που παρατηρούμε σε αυτή την κατηγορία γονέων είναι κάτι που δυστυχώς χαρακτηρίζει την κοινωνία μας ολόκληρη: Όλοι κατηγορούμε όλους τους άλλους για κάτι, καθιστώντας σαφή τον υπαινιγμό ότι εμείς είμαστε οι τέλειοι. </w:t>
      </w:r>
    </w:p>
    <w:p w:rsidR="00DC5551" w:rsidRPr="00DC5551" w:rsidRDefault="00DC5551" w:rsidP="00DC5551">
      <w:pPr>
        <w:pStyle w:val="a3"/>
        <w:numPr>
          <w:ilvl w:val="0"/>
          <w:numId w:val="1"/>
        </w:numPr>
        <w:jc w:val="both"/>
        <w:rPr>
          <w:rFonts w:ascii="Century" w:hAnsi="Century"/>
          <w:sz w:val="24"/>
          <w:szCs w:val="24"/>
        </w:rPr>
      </w:pPr>
      <w:r w:rsidRPr="00DC5551">
        <w:rPr>
          <w:rFonts w:ascii="Century" w:hAnsi="Century"/>
          <w:sz w:val="24"/>
          <w:szCs w:val="24"/>
        </w:rPr>
        <w:t>Παιδιά με παραβατική συμπεριφορά</w:t>
      </w:r>
    </w:p>
    <w:p w:rsidR="00DC5551" w:rsidRDefault="00DC5551" w:rsidP="00DC5551">
      <w:pPr>
        <w:jc w:val="both"/>
        <w:rPr>
          <w:rFonts w:ascii="Century" w:hAnsi="Century"/>
          <w:sz w:val="24"/>
          <w:szCs w:val="24"/>
        </w:rPr>
      </w:pPr>
      <w:r>
        <w:rPr>
          <w:rFonts w:ascii="Century" w:hAnsi="Century"/>
          <w:sz w:val="24"/>
          <w:szCs w:val="24"/>
        </w:rPr>
        <w:t>Τα ανήλικα αυτά τα αντιμετωπίζουμε είτε στο Μονομελές και Τριμελές Δικαστήριο Ανηλίκων στο πλαίσιο πια της</w:t>
      </w:r>
      <w:r w:rsidRPr="00A81F2F">
        <w:rPr>
          <w:rFonts w:ascii="Century" w:hAnsi="Century"/>
          <w:sz w:val="24"/>
          <w:szCs w:val="24"/>
        </w:rPr>
        <w:t xml:space="preserve"> </w:t>
      </w:r>
      <w:r>
        <w:rPr>
          <w:rFonts w:ascii="Century" w:hAnsi="Century"/>
          <w:sz w:val="24"/>
          <w:szCs w:val="24"/>
        </w:rPr>
        <w:t>κατασταλτικής λειτουργικής μας αρμοδιότητας είτε στα πλαίσια της διαδικασίας που προβλέπεται στη διάταξη του άρθρου 45</w:t>
      </w:r>
      <w:r w:rsidRPr="00BC456B">
        <w:rPr>
          <w:rFonts w:ascii="Century" w:hAnsi="Century"/>
          <w:sz w:val="24"/>
          <w:szCs w:val="24"/>
          <w:vertAlign w:val="superscript"/>
        </w:rPr>
        <w:t>Α</w:t>
      </w:r>
      <w:r>
        <w:rPr>
          <w:rFonts w:ascii="Century" w:hAnsi="Century"/>
          <w:sz w:val="24"/>
          <w:szCs w:val="24"/>
        </w:rPr>
        <w:t xml:space="preserve"> του Κώδικα Ποινικής Δικονομίας. Θα αναφερθούμε πρώτα στην τελευταία αυτή διαδικασία και θα περάσουμε στη συνέχεια στην ποινική μεταχείριση των ανηλίκων δραστών ενώπιον του ακροατηρίου.</w:t>
      </w:r>
    </w:p>
    <w:p w:rsidR="00DC5551" w:rsidRPr="00DC2E6A" w:rsidRDefault="00DC5551" w:rsidP="00DC5551">
      <w:pPr>
        <w:pStyle w:val="a3"/>
        <w:numPr>
          <w:ilvl w:val="0"/>
          <w:numId w:val="4"/>
        </w:numPr>
        <w:jc w:val="both"/>
        <w:rPr>
          <w:rFonts w:ascii="Century" w:hAnsi="Century"/>
          <w:b/>
          <w:caps/>
          <w:sz w:val="24"/>
          <w:szCs w:val="24"/>
        </w:rPr>
      </w:pPr>
      <w:r w:rsidRPr="00DC2E6A">
        <w:rPr>
          <w:rFonts w:ascii="Century" w:hAnsi="Century"/>
          <w:b/>
          <w:caps/>
          <w:sz w:val="24"/>
          <w:szCs w:val="24"/>
        </w:rPr>
        <w:t xml:space="preserve">Αποχή από την ποινική δίωξη κατ΄ άρθρο 45 Α του Κώδικα Ποινικής Δικονομίας </w:t>
      </w:r>
    </w:p>
    <w:p w:rsidR="00DC5551" w:rsidRPr="007D14A9" w:rsidRDefault="00DC5551" w:rsidP="00DC5551">
      <w:pPr>
        <w:spacing w:after="0" w:line="240" w:lineRule="auto"/>
        <w:jc w:val="both"/>
        <w:rPr>
          <w:rFonts w:ascii="Century" w:hAnsi="Century"/>
          <w:sz w:val="24"/>
          <w:szCs w:val="24"/>
        </w:rPr>
      </w:pPr>
      <w:r w:rsidRPr="007D14A9">
        <w:rPr>
          <w:rFonts w:ascii="Century" w:hAnsi="Century"/>
          <w:sz w:val="24"/>
          <w:szCs w:val="24"/>
        </w:rPr>
        <w:lastRenderedPageBreak/>
        <w:t>Σύμφωνα με τη διάταξη του ανωτέρω άρθρου, που προστέθηκε στον Κώδικα Ποινικής Δικονομίας με την παρ. 2 άρθρου 4 του Ν.3189/2003  «Αν ανήλικος τελέσει αξιόποινη πράξη, η οποία είναι πταίσμα ή πλημμέλημα, ο εισαγγελέας μπορεί να απόσχει από την άσκηση της ποινικής δίωξης αν κρίνει, ερευνώντας τις περιστάσεις υπό τις οποίες τελέστηκε η πράξη και την όλη προσωπικότητα του ανηλίκου, ότι η άσκησή της δεν είναι αναγκαία για να συγκρατηθεί ο ανήλικος από την τέλεση νέων αξιόποινων πράξεων. Απαιτείται σε κάθε περίπτωση ακρόαση του ανηλίκου 2. Στον ανήλικο μπορεί να επιβληθούν με διάταξη του εισαγγελέα ένα ή περισσότερα από τα αναμορφωτικά μέτρα που προβλέπονται στις περιπτώσεις α` έως και ια` του άρθρου 122 παρ. 1 του Ποινικού Κώδικα. Με την ίδια διάταξη ορίζεται και η προθεσμία συμμόρφωσης. Αν ο ανήλικος συμμορφωθεί με τα μέτρα και τις υποχρεώσεις που του επιβλήθηκαν, ο εισαγγελέας ενεργεί σύμφωνα με όσα προβλέπονται στο άρθρο 43 παρ. 2. Σε αντίθετη περίπτωση ο εισαγγελέας κινεί την ποινική δίωξη σύμφωνα με το άρθρο 43 παρ. 1. Για την έκδοση της διάταξης απαιτείται προηγούμενη έκθεση του αρμόδιου επιμελητή ανηλίκων»</w:t>
      </w:r>
      <w:r w:rsidRPr="007D14A9">
        <w:rPr>
          <w:rFonts w:ascii="Century" w:hAnsi="Century"/>
          <w:b/>
          <w:sz w:val="24"/>
          <w:szCs w:val="24"/>
        </w:rPr>
        <w:t>.</w:t>
      </w:r>
      <w:r w:rsidRPr="007D14A9">
        <w:rPr>
          <w:rFonts w:ascii="Century" w:hAnsi="Century"/>
          <w:sz w:val="24"/>
          <w:szCs w:val="24"/>
        </w:rPr>
        <w:t xml:space="preserve"> Η παράγραφος 2 αντικαταστάθηκε ως άνω με το άρθρο 9 παρ.1 Ν. 4322/2015 και προσέθεσε ως προϋπόθεση τη σύνταξη έκθεσης του αρμόδιου επιμελητή ανηλίκων, ενώ απάλειψε την προβλεπόμενη</w:t>
      </w:r>
      <w:r>
        <w:rPr>
          <w:rFonts w:ascii="Century" w:hAnsi="Century"/>
          <w:sz w:val="24"/>
          <w:szCs w:val="24"/>
        </w:rPr>
        <w:t xml:space="preserve"> ως τότε</w:t>
      </w:r>
      <w:r w:rsidRPr="007D14A9">
        <w:rPr>
          <w:rFonts w:ascii="Century" w:hAnsi="Century"/>
          <w:sz w:val="24"/>
          <w:szCs w:val="24"/>
        </w:rPr>
        <w:t xml:space="preserve"> δυνατότητα του Εισαγγελέα να επιβάλει την καταβολή χρηματικού ποσού μέχρι 1.000 ευρώ υπέρ μη κερδοσκοπικού ή κοινωφελούς νομικού προσώπου. Πρέπει να σημειωθεί ότι η υποχρέωση σύνταξης έκθεσης του αρμόδιου επιμελητή ανηλίκων έχει ως αποτέλεσμα να καταστήσει πιο ανελαστική την ευέλικτη </w:t>
      </w:r>
      <w:r>
        <w:rPr>
          <w:rFonts w:ascii="Century" w:hAnsi="Century"/>
          <w:sz w:val="24"/>
          <w:szCs w:val="24"/>
        </w:rPr>
        <w:t>κατά τα λοιπά</w:t>
      </w:r>
      <w:r w:rsidRPr="007D14A9">
        <w:rPr>
          <w:rFonts w:ascii="Century" w:hAnsi="Century"/>
          <w:sz w:val="24"/>
          <w:szCs w:val="24"/>
        </w:rPr>
        <w:t xml:space="preserve"> διαδικασία του άρθρου 45</w:t>
      </w:r>
      <w:r w:rsidRPr="007D14A9">
        <w:rPr>
          <w:rFonts w:ascii="Century" w:hAnsi="Century"/>
          <w:sz w:val="24"/>
          <w:szCs w:val="24"/>
          <w:vertAlign w:val="superscript"/>
        </w:rPr>
        <w:t>Α</w:t>
      </w:r>
      <w:r w:rsidRPr="007D14A9">
        <w:rPr>
          <w:rFonts w:ascii="Century" w:hAnsi="Century"/>
          <w:sz w:val="24"/>
          <w:szCs w:val="24"/>
        </w:rPr>
        <w:t>, που δεν</w:t>
      </w:r>
      <w:r>
        <w:rPr>
          <w:rFonts w:ascii="Century" w:hAnsi="Century"/>
          <w:sz w:val="24"/>
          <w:szCs w:val="24"/>
        </w:rPr>
        <w:t xml:space="preserve"> θεσπίστηκε χάριν της</w:t>
      </w:r>
      <w:r w:rsidRPr="007D14A9">
        <w:rPr>
          <w:rFonts w:ascii="Century" w:hAnsi="Century"/>
          <w:sz w:val="24"/>
          <w:szCs w:val="24"/>
        </w:rPr>
        <w:t xml:space="preserve"> αποσυμφόρηση των δικαστηρίων από συγκεκριμένες υποθέσεις, αλλά</w:t>
      </w:r>
      <w:r>
        <w:rPr>
          <w:rFonts w:ascii="Century" w:hAnsi="Century"/>
          <w:sz w:val="24"/>
          <w:szCs w:val="24"/>
        </w:rPr>
        <w:t xml:space="preserve"> και κυρίως επ΄ ωφελεία του ανηλίκου δράστη.</w:t>
      </w:r>
      <w:r w:rsidRPr="007D14A9">
        <w:rPr>
          <w:rFonts w:ascii="Century" w:hAnsi="Century"/>
          <w:sz w:val="24"/>
          <w:szCs w:val="24"/>
        </w:rPr>
        <w:t xml:space="preserve"> </w:t>
      </w:r>
    </w:p>
    <w:p w:rsidR="00DC5551" w:rsidRPr="00994059" w:rsidRDefault="00DC5551" w:rsidP="00DC5551">
      <w:pPr>
        <w:pStyle w:val="a3"/>
        <w:numPr>
          <w:ilvl w:val="0"/>
          <w:numId w:val="1"/>
        </w:numPr>
        <w:spacing w:after="0" w:line="240" w:lineRule="auto"/>
        <w:jc w:val="both"/>
        <w:rPr>
          <w:rFonts w:ascii="Century" w:hAnsi="Century"/>
          <w:sz w:val="24"/>
          <w:szCs w:val="24"/>
        </w:rPr>
      </w:pPr>
      <w:r w:rsidRPr="00994059">
        <w:rPr>
          <w:rFonts w:ascii="Century" w:hAnsi="Century"/>
          <w:sz w:val="24"/>
          <w:szCs w:val="24"/>
        </w:rPr>
        <w:t>Στην πράξη τη δυνατότητα αυτή</w:t>
      </w:r>
      <w:r>
        <w:rPr>
          <w:rFonts w:ascii="Century" w:hAnsi="Century"/>
          <w:sz w:val="24"/>
          <w:szCs w:val="24"/>
        </w:rPr>
        <w:t xml:space="preserve"> την είχαμε ενεργοποιήσει</w:t>
      </w:r>
      <w:r w:rsidRPr="00994059">
        <w:rPr>
          <w:rFonts w:ascii="Century" w:hAnsi="Century"/>
          <w:sz w:val="24"/>
          <w:szCs w:val="24"/>
        </w:rPr>
        <w:t xml:space="preserve"> </w:t>
      </w:r>
      <w:r>
        <w:rPr>
          <w:rFonts w:ascii="Century" w:hAnsi="Century"/>
          <w:sz w:val="24"/>
          <w:szCs w:val="24"/>
        </w:rPr>
        <w:t xml:space="preserve">κυρίως </w:t>
      </w:r>
      <w:r w:rsidRPr="00994059">
        <w:rPr>
          <w:rFonts w:ascii="Century" w:hAnsi="Century"/>
          <w:sz w:val="24"/>
          <w:szCs w:val="24"/>
        </w:rPr>
        <w:t>στις περιπτώσεις της παράβασης του Κώδικα Οδικής Κυκλοφορίας, όπου καλ</w:t>
      </w:r>
      <w:r>
        <w:rPr>
          <w:rFonts w:ascii="Century" w:hAnsi="Century"/>
          <w:sz w:val="24"/>
          <w:szCs w:val="24"/>
        </w:rPr>
        <w:t>ούταν ο</w:t>
      </w:r>
      <w:r w:rsidRPr="00994059">
        <w:rPr>
          <w:rFonts w:ascii="Century" w:hAnsi="Century"/>
          <w:sz w:val="24"/>
          <w:szCs w:val="24"/>
        </w:rPr>
        <w:t xml:space="preserve"> ανήλικο</w:t>
      </w:r>
      <w:r>
        <w:rPr>
          <w:rFonts w:ascii="Century" w:hAnsi="Century"/>
          <w:sz w:val="24"/>
          <w:szCs w:val="24"/>
        </w:rPr>
        <w:t>ς</w:t>
      </w:r>
      <w:r w:rsidRPr="00994059">
        <w:rPr>
          <w:rFonts w:ascii="Century" w:hAnsi="Century"/>
          <w:sz w:val="24"/>
          <w:szCs w:val="24"/>
        </w:rPr>
        <w:t xml:space="preserve"> και </w:t>
      </w:r>
      <w:r>
        <w:rPr>
          <w:rFonts w:ascii="Century" w:hAnsi="Century"/>
          <w:sz w:val="24"/>
          <w:szCs w:val="24"/>
        </w:rPr>
        <w:t>οι</w:t>
      </w:r>
      <w:r w:rsidRPr="00994059">
        <w:rPr>
          <w:rFonts w:ascii="Century" w:hAnsi="Century"/>
          <w:sz w:val="24"/>
          <w:szCs w:val="24"/>
        </w:rPr>
        <w:t xml:space="preserve"> γονείς του και αφού του επισημ</w:t>
      </w:r>
      <w:r>
        <w:rPr>
          <w:rFonts w:ascii="Century" w:hAnsi="Century"/>
          <w:sz w:val="24"/>
          <w:szCs w:val="24"/>
        </w:rPr>
        <w:t>αίναμε</w:t>
      </w:r>
      <w:r w:rsidRPr="00994059">
        <w:rPr>
          <w:rFonts w:ascii="Century" w:hAnsi="Century"/>
          <w:sz w:val="24"/>
          <w:szCs w:val="24"/>
        </w:rPr>
        <w:t xml:space="preserve"> τους κινδύνους της οδήγησης χωρίς άδεια, του επιβάλλαμε μέχρι και πριν την ψήφιση του Ν. 4322/2015 την καταβολή ποσού 100 ευρώ υπέρ κοινωφελών ιδρυμάτων της πόλης μας, που σχετίζονταν με την προστασία των ανηλίκων, ενώ ήδη μετά την κατάργηση αυτής της δυνατότητας επιβάλλονται άλλα αναμορφωτικά μέτρα, όπως η επίπληξη και η παρακολούθηση από τον ανήλικο ειδικών προγραμμάτων κυκλοφοριακής αγωγής. </w:t>
      </w:r>
    </w:p>
    <w:p w:rsidR="00DC5551" w:rsidRPr="00994059" w:rsidRDefault="00DC5551" w:rsidP="00DC5551">
      <w:pPr>
        <w:pStyle w:val="a3"/>
        <w:numPr>
          <w:ilvl w:val="0"/>
          <w:numId w:val="1"/>
        </w:numPr>
        <w:spacing w:after="0" w:line="240" w:lineRule="auto"/>
        <w:jc w:val="both"/>
        <w:rPr>
          <w:rFonts w:ascii="Century" w:hAnsi="Century"/>
          <w:sz w:val="24"/>
          <w:szCs w:val="24"/>
        </w:rPr>
      </w:pPr>
      <w:r w:rsidRPr="00994059">
        <w:rPr>
          <w:rFonts w:ascii="Century" w:hAnsi="Century"/>
          <w:sz w:val="24"/>
          <w:szCs w:val="24"/>
        </w:rPr>
        <w:t xml:space="preserve">Η διαδικασία αυτή προβλέπεται πλέον και στην περίπτωση του Ν. 3500/2006 περί ενδοοικογενειακής βίας. Ειδικότερα στην παράγραφο </w:t>
      </w:r>
      <w:r>
        <w:rPr>
          <w:rFonts w:ascii="Century" w:hAnsi="Century"/>
          <w:sz w:val="24"/>
          <w:szCs w:val="24"/>
        </w:rPr>
        <w:t>5</w:t>
      </w:r>
      <w:r w:rsidRPr="00994059">
        <w:rPr>
          <w:rFonts w:ascii="Century" w:hAnsi="Century"/>
          <w:sz w:val="24"/>
          <w:szCs w:val="24"/>
        </w:rPr>
        <w:t xml:space="preserve"> του άρθρου 11 του Ν. 3500/2006 προβλέπεται ότι </w:t>
      </w:r>
      <w:r>
        <w:rPr>
          <w:rFonts w:ascii="Century" w:hAnsi="Century"/>
          <w:sz w:val="24"/>
          <w:szCs w:val="24"/>
        </w:rPr>
        <w:t xml:space="preserve">σε περίπτωση που ανήλικος φέρεται να έχει τελέσει </w:t>
      </w:r>
      <w:r w:rsidRPr="00994059">
        <w:rPr>
          <w:rFonts w:ascii="Century" w:hAnsi="Century"/>
          <w:sz w:val="24"/>
          <w:szCs w:val="24"/>
        </w:rPr>
        <w:t>πράξη ενδοοικογενεια</w:t>
      </w:r>
      <w:r>
        <w:rPr>
          <w:rFonts w:ascii="Century" w:hAnsi="Century"/>
          <w:sz w:val="24"/>
          <w:szCs w:val="24"/>
        </w:rPr>
        <w:t>κής βίας σε βαθμό πλημμελήματος,</w:t>
      </w:r>
      <w:r w:rsidRPr="00994059">
        <w:rPr>
          <w:rFonts w:ascii="Century" w:hAnsi="Century"/>
          <w:sz w:val="24"/>
          <w:szCs w:val="24"/>
        </w:rPr>
        <w:t xml:space="preserve"> εφαρμόζεται το άρθρο 45Α του Κώδικα Ποινικής Δικονομίας.</w:t>
      </w:r>
      <w:r>
        <w:rPr>
          <w:rFonts w:ascii="Century" w:hAnsi="Century"/>
          <w:sz w:val="24"/>
          <w:szCs w:val="24"/>
        </w:rPr>
        <w:t xml:space="preserve"> Στην πράξη η διάταξη αυτή δεν έχει ενεργοποιηθεί στην Εισαγγελία Ανηλίκων Θεσσαλονίκης για όσο τουλάχιστον χρόνο υπηρετώ. Σε κάθε περίπτωση ισχύουν και εδώ όσα ειπώθηκαν παραπάνω σχετικά με την επιβολή αναμορφωτικών μέτρων.</w:t>
      </w:r>
    </w:p>
    <w:p w:rsidR="00DC5551" w:rsidRPr="00E71F8C" w:rsidRDefault="00DC5551" w:rsidP="00DC5551">
      <w:pPr>
        <w:spacing w:after="0" w:line="240" w:lineRule="auto"/>
        <w:jc w:val="both"/>
        <w:rPr>
          <w:rFonts w:ascii="Century" w:hAnsi="Century"/>
          <w:sz w:val="24"/>
          <w:szCs w:val="24"/>
        </w:rPr>
      </w:pPr>
    </w:p>
    <w:p w:rsidR="00DC5551" w:rsidRPr="00DC2E6A" w:rsidRDefault="00DC5551" w:rsidP="00DC5551">
      <w:pPr>
        <w:pStyle w:val="a3"/>
        <w:numPr>
          <w:ilvl w:val="0"/>
          <w:numId w:val="3"/>
        </w:numPr>
        <w:jc w:val="both"/>
        <w:rPr>
          <w:rFonts w:ascii="Century" w:hAnsi="Century"/>
          <w:b/>
          <w:sz w:val="24"/>
          <w:szCs w:val="24"/>
        </w:rPr>
      </w:pPr>
      <w:r w:rsidRPr="00DC2E6A">
        <w:rPr>
          <w:rFonts w:ascii="Century" w:hAnsi="Century"/>
          <w:b/>
          <w:sz w:val="24"/>
          <w:szCs w:val="24"/>
        </w:rPr>
        <w:lastRenderedPageBreak/>
        <w:t>ΠΟΙΝΙΚΗ ΜΕΤΑΧΕΙΡΙΣΗ ΤΩΝ ΑΝΗΛΙΚΩΝ ΔΡΑΣΤΩΝ -</w:t>
      </w:r>
      <w:r w:rsidRPr="00DC2E6A">
        <w:rPr>
          <w:rFonts w:ascii="Century" w:hAnsi="Century"/>
          <w:i/>
          <w:caps/>
          <w:sz w:val="24"/>
          <w:szCs w:val="24"/>
        </w:rPr>
        <w:t xml:space="preserve"> </w:t>
      </w:r>
      <w:r w:rsidRPr="00DC2E6A">
        <w:rPr>
          <w:rFonts w:ascii="Century" w:hAnsi="Century"/>
          <w:b/>
          <w:caps/>
          <w:sz w:val="24"/>
          <w:szCs w:val="24"/>
        </w:rPr>
        <w:t>Ποιοι θεωρούνται ανήλικοι κατά τις διατάξεις του νόμου</w:t>
      </w:r>
    </w:p>
    <w:p w:rsidR="00DC5551" w:rsidRDefault="00DC5551" w:rsidP="00DC5551">
      <w:pPr>
        <w:jc w:val="both"/>
        <w:rPr>
          <w:rFonts w:ascii="Century" w:hAnsi="Century"/>
          <w:sz w:val="24"/>
          <w:szCs w:val="24"/>
        </w:rPr>
      </w:pPr>
      <w:r>
        <w:rPr>
          <w:rFonts w:ascii="Century" w:hAnsi="Century"/>
          <w:sz w:val="24"/>
          <w:szCs w:val="24"/>
        </w:rPr>
        <w:t>Περνάμε τώρα στην ποινική μεταχείριση των ανηλίκων δραστών και σκόπιμη είναι κατά πρώτο λόγο μία αναφορά στους ορισμούς, που περιλαμβάνονται στις περί αρμοδιότητας διατάξεις του Κώδικα Ποινικής Δικονομίας αλλά και στο</w:t>
      </w:r>
      <w:r w:rsidRPr="00A81F2F">
        <w:t xml:space="preserve"> </w:t>
      </w:r>
      <w:r w:rsidRPr="00A81F2F">
        <w:rPr>
          <w:rFonts w:ascii="Century" w:hAnsi="Century"/>
          <w:sz w:val="24"/>
          <w:szCs w:val="24"/>
        </w:rPr>
        <w:t>όγδοο κεφάλαιο του Ποινικού Κώδικα</w:t>
      </w:r>
      <w:r>
        <w:rPr>
          <w:rFonts w:ascii="Century" w:hAnsi="Century"/>
          <w:sz w:val="24"/>
          <w:szCs w:val="24"/>
        </w:rPr>
        <w:t>.</w:t>
      </w:r>
    </w:p>
    <w:p w:rsidR="00DC5551" w:rsidRPr="0081335E" w:rsidRDefault="00DC5551" w:rsidP="00DC5551">
      <w:pPr>
        <w:jc w:val="both"/>
        <w:rPr>
          <w:rFonts w:ascii="Century" w:hAnsi="Century"/>
          <w:sz w:val="24"/>
          <w:szCs w:val="24"/>
        </w:rPr>
      </w:pPr>
      <w:r>
        <w:rPr>
          <w:rFonts w:ascii="Century" w:hAnsi="Century"/>
          <w:sz w:val="24"/>
          <w:szCs w:val="24"/>
        </w:rPr>
        <w:t>Σύμφωνα λοιπόν με το άρθρο 113 του</w:t>
      </w:r>
      <w:r w:rsidRPr="006500B3">
        <w:rPr>
          <w:rFonts w:ascii="Century" w:hAnsi="Century"/>
          <w:sz w:val="24"/>
          <w:szCs w:val="24"/>
        </w:rPr>
        <w:t xml:space="preserve"> </w:t>
      </w:r>
      <w:r>
        <w:rPr>
          <w:rFonts w:ascii="Century" w:hAnsi="Century"/>
          <w:sz w:val="24"/>
          <w:szCs w:val="24"/>
        </w:rPr>
        <w:t>Κώδικα Ποινικής Δικονομίας: «</w:t>
      </w:r>
      <w:r w:rsidRPr="00DC5551">
        <w:rPr>
          <w:rFonts w:ascii="Century" w:hAnsi="Century"/>
          <w:sz w:val="24"/>
          <w:szCs w:val="24"/>
        </w:rPr>
        <w:t>Το μονομελές δικαστήριο ανηλίκων δικάζει: α) τις πράξεις που τελούνται από ανηλίκους εκτός από εκείνες που δικάζονται από το τριμελές δικαστήριο ανηλίκων, β) τα πταίσματα που τελούνται από ανηλίκους στην έδρα του πρωτοδικείου και γ) τις εφέσεις κατά των αποφάσεων του πταισματοδικείου για ανηλίκους.  Β. Το τριμελές δικαστήριο ανηλίκων δικάζει τις αξιόποινες πράξεις που τελούνται από ανήλικους, για τις οποίες, αν τελούνταν από ενήλικα, απειλείται ισόβια κάθειρξη, καθώς και τις πράξεις του άρθρου 336 του Ποινικού Κώδικα, εφόσον τελούνται σε βάρος προσώπου νεωτέρου από δεκαπέντε (15) ετών</w:t>
      </w:r>
      <w:r>
        <w:rPr>
          <w:rFonts w:ascii="Century" w:hAnsi="Century"/>
          <w:sz w:val="24"/>
          <w:szCs w:val="24"/>
        </w:rPr>
        <w:t xml:space="preserve">». </w:t>
      </w:r>
      <w:r w:rsidRPr="0081335E">
        <w:rPr>
          <w:rFonts w:ascii="Century" w:hAnsi="Century"/>
          <w:sz w:val="24"/>
          <w:szCs w:val="24"/>
        </w:rPr>
        <w:t xml:space="preserve">Στο όγδοο </w:t>
      </w:r>
      <w:r>
        <w:rPr>
          <w:rFonts w:ascii="Century" w:hAnsi="Century"/>
          <w:sz w:val="24"/>
          <w:szCs w:val="24"/>
        </w:rPr>
        <w:t xml:space="preserve">δε </w:t>
      </w:r>
      <w:r w:rsidRPr="0081335E">
        <w:rPr>
          <w:rFonts w:ascii="Century" w:hAnsi="Century"/>
          <w:sz w:val="24"/>
          <w:szCs w:val="24"/>
        </w:rPr>
        <w:t>κεφάλαιο του Ποινικού Κώδικα περιέχονται ειδικοί ορισμοί για τη μεταχείριση των ανηλίκων παραβατών των κανόνων του ποινικού δικαίου. Ανάλογα, λοιπόν, με την ηλικία τους, τη βαρύτητα της πράξης και την ψυχική τους κατάσταση υποβάλλονται σε αναμορφωτικά ή θεραπευτικά μέτρα ή και σε ποινικό σωφρονισμό.</w:t>
      </w:r>
    </w:p>
    <w:p w:rsidR="00DC5551" w:rsidRPr="00EB2855" w:rsidRDefault="00DC5551" w:rsidP="00DC5551">
      <w:pPr>
        <w:pStyle w:val="a3"/>
        <w:numPr>
          <w:ilvl w:val="0"/>
          <w:numId w:val="1"/>
        </w:numPr>
        <w:jc w:val="both"/>
        <w:rPr>
          <w:rFonts w:ascii="Century" w:hAnsi="Century"/>
          <w:sz w:val="24"/>
          <w:szCs w:val="24"/>
        </w:rPr>
      </w:pPr>
      <w:r>
        <w:rPr>
          <w:rFonts w:ascii="Century" w:hAnsi="Century"/>
          <w:sz w:val="24"/>
          <w:szCs w:val="24"/>
        </w:rPr>
        <w:t>Νήπια θεωρούνται όσα παιδιά δεν έχουν συμπληρώσει το 7</w:t>
      </w:r>
      <w:r w:rsidRPr="00FA774B">
        <w:rPr>
          <w:rFonts w:ascii="Century" w:hAnsi="Century"/>
          <w:sz w:val="24"/>
          <w:szCs w:val="24"/>
          <w:vertAlign w:val="superscript"/>
        </w:rPr>
        <w:t>ο</w:t>
      </w:r>
      <w:r>
        <w:rPr>
          <w:rFonts w:ascii="Century" w:hAnsi="Century"/>
          <w:sz w:val="24"/>
          <w:szCs w:val="24"/>
        </w:rPr>
        <w:t xml:space="preserve"> έτος της ηλικίας τους και η συμπεριφορά τους είναι απολύτως αδιάφορη για το ποινικό δίκαιο</w:t>
      </w:r>
    </w:p>
    <w:p w:rsidR="00DC5551" w:rsidRDefault="00DC5551" w:rsidP="00DC5551">
      <w:pPr>
        <w:pStyle w:val="a3"/>
        <w:numPr>
          <w:ilvl w:val="0"/>
          <w:numId w:val="1"/>
        </w:numPr>
        <w:jc w:val="both"/>
        <w:rPr>
          <w:rFonts w:ascii="Century" w:hAnsi="Century"/>
          <w:sz w:val="24"/>
          <w:szCs w:val="24"/>
        </w:rPr>
      </w:pPr>
      <w:r>
        <w:rPr>
          <w:rFonts w:ascii="Century" w:hAnsi="Century"/>
          <w:sz w:val="24"/>
          <w:szCs w:val="24"/>
        </w:rPr>
        <w:t xml:space="preserve">Ανήλικοι ηλικίας </w:t>
      </w:r>
      <w:r w:rsidRPr="00EB2855">
        <w:rPr>
          <w:rFonts w:ascii="Century" w:hAnsi="Century"/>
          <w:sz w:val="24"/>
          <w:szCs w:val="24"/>
        </w:rPr>
        <w:t>8-1</w:t>
      </w:r>
      <w:r>
        <w:rPr>
          <w:rFonts w:ascii="Century" w:hAnsi="Century"/>
          <w:sz w:val="24"/>
          <w:szCs w:val="24"/>
        </w:rPr>
        <w:t>5 πλέον έναντι των 13 που ίσχυε προ του Ν. 4322/2015</w:t>
      </w:r>
      <w:r w:rsidRPr="00EB2855">
        <w:rPr>
          <w:rFonts w:ascii="Century" w:hAnsi="Century"/>
          <w:sz w:val="24"/>
          <w:szCs w:val="24"/>
        </w:rPr>
        <w:t xml:space="preserve"> ετών: ποινικά ανεύθυν</w:t>
      </w:r>
      <w:r>
        <w:rPr>
          <w:rFonts w:ascii="Century" w:hAnsi="Century"/>
          <w:sz w:val="24"/>
          <w:szCs w:val="24"/>
        </w:rPr>
        <w:t>α – κατ΄ αμάχητο τεκμήριο ακαταλόγιστα</w:t>
      </w:r>
    </w:p>
    <w:p w:rsidR="00DC5551" w:rsidRDefault="00DC5551" w:rsidP="00DC5551">
      <w:pPr>
        <w:pStyle w:val="a3"/>
        <w:numPr>
          <w:ilvl w:val="0"/>
          <w:numId w:val="1"/>
        </w:numPr>
        <w:jc w:val="both"/>
        <w:rPr>
          <w:rFonts w:ascii="Century" w:hAnsi="Century"/>
          <w:sz w:val="24"/>
          <w:szCs w:val="24"/>
        </w:rPr>
      </w:pPr>
      <w:r>
        <w:rPr>
          <w:rFonts w:ascii="Century" w:hAnsi="Century"/>
          <w:sz w:val="24"/>
          <w:szCs w:val="24"/>
        </w:rPr>
        <w:t xml:space="preserve">Ανήλικοι </w:t>
      </w:r>
      <w:r w:rsidRPr="00EB2855">
        <w:rPr>
          <w:rFonts w:ascii="Century" w:hAnsi="Century"/>
          <w:sz w:val="24"/>
          <w:szCs w:val="24"/>
        </w:rPr>
        <w:t>15-18</w:t>
      </w:r>
      <w:r>
        <w:rPr>
          <w:rFonts w:ascii="Century" w:hAnsi="Century"/>
          <w:sz w:val="24"/>
          <w:szCs w:val="24"/>
        </w:rPr>
        <w:t xml:space="preserve"> ετών</w:t>
      </w:r>
      <w:r w:rsidRPr="00EB2855">
        <w:rPr>
          <w:rFonts w:ascii="Century" w:hAnsi="Century"/>
          <w:sz w:val="24"/>
          <w:szCs w:val="24"/>
        </w:rPr>
        <w:t>:</w:t>
      </w:r>
      <w:r>
        <w:rPr>
          <w:rFonts w:ascii="Century" w:hAnsi="Century"/>
          <w:sz w:val="24"/>
          <w:szCs w:val="24"/>
        </w:rPr>
        <w:t xml:space="preserve"> ποινικά υπεύθυνοι στους οποίους επιβάλλονται</w:t>
      </w:r>
      <w:r w:rsidRPr="00EB2855">
        <w:rPr>
          <w:rFonts w:ascii="Century" w:hAnsi="Century"/>
          <w:sz w:val="24"/>
          <w:szCs w:val="24"/>
        </w:rPr>
        <w:t xml:space="preserve"> αναμορφωτικά – θεραπευτικά </w:t>
      </w:r>
      <w:r>
        <w:rPr>
          <w:rFonts w:ascii="Century" w:hAnsi="Century"/>
          <w:sz w:val="24"/>
          <w:szCs w:val="24"/>
        </w:rPr>
        <w:t xml:space="preserve">μέτρα </w:t>
      </w:r>
      <w:r w:rsidRPr="00EB2855">
        <w:rPr>
          <w:rFonts w:ascii="Century" w:hAnsi="Century"/>
          <w:sz w:val="24"/>
          <w:szCs w:val="24"/>
        </w:rPr>
        <w:t>–</w:t>
      </w:r>
      <w:r>
        <w:rPr>
          <w:rFonts w:ascii="Century" w:hAnsi="Century"/>
          <w:sz w:val="24"/>
          <w:szCs w:val="24"/>
        </w:rPr>
        <w:t xml:space="preserve">περιορισμός σε ειδικό κατάστημα κράτησης νέων, αν συντρέχουν οι όροι </w:t>
      </w:r>
      <w:r w:rsidRPr="00EB2855">
        <w:rPr>
          <w:rFonts w:ascii="Century" w:hAnsi="Century"/>
          <w:sz w:val="24"/>
          <w:szCs w:val="24"/>
        </w:rPr>
        <w:t>ποινικ</w:t>
      </w:r>
      <w:r>
        <w:rPr>
          <w:rFonts w:ascii="Century" w:hAnsi="Century"/>
          <w:sz w:val="24"/>
          <w:szCs w:val="24"/>
        </w:rPr>
        <w:t>ού</w:t>
      </w:r>
      <w:r w:rsidRPr="00EB2855">
        <w:rPr>
          <w:rFonts w:ascii="Century" w:hAnsi="Century"/>
          <w:sz w:val="24"/>
          <w:szCs w:val="24"/>
        </w:rPr>
        <w:t xml:space="preserve"> σωφρονισμ</w:t>
      </w:r>
      <w:r>
        <w:rPr>
          <w:rFonts w:ascii="Century" w:hAnsi="Century"/>
          <w:sz w:val="24"/>
          <w:szCs w:val="24"/>
        </w:rPr>
        <w:t>ού. Ε</w:t>
      </w:r>
      <w:r w:rsidRPr="00DC5551">
        <w:rPr>
          <w:rFonts w:ascii="Century" w:hAnsi="Century"/>
          <w:sz w:val="24"/>
          <w:szCs w:val="24"/>
        </w:rPr>
        <w:t>ιδικά το αναμορφωτικό μέτρο του άρθρου 122 παράγραφος 1 περίπτωση ιβ` επιβάλλεται μόνο για πράξη, την οποία αν τελούσε ενήλικος θα ήταν κακούργημα</w:t>
      </w:r>
      <w:r w:rsidRPr="00EB2855">
        <w:rPr>
          <w:rFonts w:ascii="Century" w:hAnsi="Century"/>
          <w:sz w:val="24"/>
          <w:szCs w:val="24"/>
        </w:rPr>
        <w:t xml:space="preserve"> </w:t>
      </w:r>
    </w:p>
    <w:p w:rsidR="00DC5551" w:rsidRPr="008B75FE" w:rsidRDefault="00DC5551" w:rsidP="00DC5551">
      <w:pPr>
        <w:jc w:val="both"/>
        <w:rPr>
          <w:rFonts w:ascii="Century" w:hAnsi="Century"/>
          <w:sz w:val="24"/>
          <w:szCs w:val="24"/>
        </w:rPr>
      </w:pPr>
      <w:r>
        <w:rPr>
          <w:rFonts w:ascii="Century" w:hAnsi="Century"/>
          <w:sz w:val="24"/>
          <w:szCs w:val="24"/>
        </w:rPr>
        <w:t xml:space="preserve">Επίσης θα ήθελα να αναφέρω ότι στα Μονομελή και Τριμελή Δικαστήρια Ανηλίκων η δίκη διεξάγεται </w:t>
      </w:r>
      <w:r w:rsidRPr="008B75FE">
        <w:rPr>
          <w:rFonts w:ascii="Century" w:hAnsi="Century"/>
          <w:sz w:val="24"/>
          <w:szCs w:val="24"/>
        </w:rPr>
        <w:t>κεκλεισμένων των θυρών</w:t>
      </w:r>
      <w:r>
        <w:rPr>
          <w:rFonts w:ascii="Century" w:hAnsi="Century"/>
          <w:sz w:val="24"/>
          <w:szCs w:val="24"/>
        </w:rPr>
        <w:t xml:space="preserve"> και παρίστανται εκτός από τους ανηλίκους, τους γονείς τους και τους συνηγόρους υποχρεωτικά οι επιμελητές ανηλίκων, οι οποίοι προηγουμένως έχουν έρθει σε προσωπική επαφή με τον ανήλικο και το οικογενειακό του περιβάλλον και συντάσσουν σχετική έκθεση, η οποία αναγιγνώσκεται από το Δικαστή και τον Εισαγγελέα Ανηλίκων και στην οποία περιλαμβάνεται η πρόταση του επιμελητή ανηλίκων σχετικά με το μέτρο, που θα πρέπει να επιβληθεί στον ανήλικο δράστη.</w:t>
      </w:r>
    </w:p>
    <w:p w:rsidR="00DC5551" w:rsidRPr="00EB2855" w:rsidRDefault="00DC5551" w:rsidP="00DC5551">
      <w:pPr>
        <w:pStyle w:val="a3"/>
        <w:ind w:left="1316"/>
        <w:jc w:val="both"/>
        <w:rPr>
          <w:rFonts w:ascii="Century" w:hAnsi="Century"/>
          <w:sz w:val="24"/>
          <w:szCs w:val="24"/>
        </w:rPr>
      </w:pPr>
    </w:p>
    <w:p w:rsidR="00DC5551" w:rsidRPr="00DC2E6A" w:rsidRDefault="00DC5551" w:rsidP="00DC5551">
      <w:pPr>
        <w:pStyle w:val="a3"/>
        <w:numPr>
          <w:ilvl w:val="0"/>
          <w:numId w:val="2"/>
        </w:numPr>
        <w:jc w:val="both"/>
        <w:rPr>
          <w:rFonts w:ascii="Century" w:hAnsi="Century"/>
          <w:b/>
          <w:sz w:val="24"/>
          <w:szCs w:val="24"/>
        </w:rPr>
      </w:pPr>
      <w:r w:rsidRPr="00DC2E6A">
        <w:rPr>
          <w:rFonts w:ascii="Century" w:hAnsi="Century"/>
          <w:b/>
          <w:sz w:val="24"/>
          <w:szCs w:val="24"/>
        </w:rPr>
        <w:lastRenderedPageBreak/>
        <w:t>ΑΝΑΜΟΡΦΩΤΙΚΑ ΚΑΙ ΘΕΡΑΠΕΥΤΙΚΑ ΜΕΤΡΑ</w:t>
      </w:r>
    </w:p>
    <w:p w:rsidR="00DC5551" w:rsidRDefault="00DC5551" w:rsidP="00DC5551">
      <w:pPr>
        <w:jc w:val="both"/>
        <w:rPr>
          <w:rFonts w:ascii="Century" w:hAnsi="Century"/>
          <w:sz w:val="24"/>
          <w:szCs w:val="24"/>
        </w:rPr>
      </w:pPr>
      <w:r w:rsidRPr="00550AF3">
        <w:rPr>
          <w:rFonts w:ascii="Century" w:hAnsi="Century"/>
          <w:sz w:val="24"/>
          <w:szCs w:val="24"/>
        </w:rPr>
        <w:t>Μεταξύ των κυριότερων επιβαλλόμενων στην πράξη αναμορφωτικών μέτρων, που προβλέπονται στη διάταξη του άρθρου 122 ΠΚ είναι η επίπληξη, η ανάθεση της υπεύθυνης επιμέλειας του ανηλίκου στους γονείς του, η ανάθεση της επιμέλειας του ανηλίκου στην υπηρεσία επιμελητών ανηλίκων, η παροχή κοινωφελούς εργασίας από τον ανήλικο, η παρακολούθηση από τον ανήλικο κοινωνικών και ψυχολογικών προγραμμάτων σε κρατικούς, δημοτικούς, κοινοτικούς ή ιδιωτικούς φορείς, η αποζημίωση του θύματος, η συνδιαλλαγή δράστη και θύματος, η τοποθέτηση του ανηλίκου σε ίδρυμα αγωγής και η ανάθεση της εντατικής επιμέλειας και επιτήρησης του ανηλίκου στην υπηρεσία των επιμελητών ανηλίκων.</w:t>
      </w:r>
      <w:r>
        <w:rPr>
          <w:rFonts w:ascii="Century" w:hAnsi="Century"/>
          <w:sz w:val="24"/>
          <w:szCs w:val="24"/>
        </w:rPr>
        <w:t xml:space="preserve"> Στην πράξη με βάση στατιστικά στοιχεία που τηρούνται στην Υπηρεσία Επιμελητών Ανηλίκων, τα τελευταία πέντε έτη το αναμορφωτικό μέτρο που συχνότερα επιβάλλεται από  το Μονομελές Δικαστήριο Ανηλίκων είναι η επίπληξη και ακολουθούν με μικρές διαφοροποιήσεις κατ΄ έτος η</w:t>
      </w:r>
      <w:r w:rsidRPr="00EC239C">
        <w:rPr>
          <w:rFonts w:ascii="Century" w:hAnsi="Century"/>
          <w:sz w:val="24"/>
          <w:szCs w:val="24"/>
        </w:rPr>
        <w:t xml:space="preserve"> </w:t>
      </w:r>
      <w:r w:rsidRPr="00550AF3">
        <w:rPr>
          <w:rFonts w:ascii="Century" w:hAnsi="Century"/>
          <w:sz w:val="24"/>
          <w:szCs w:val="24"/>
        </w:rPr>
        <w:t>ανάθεση της επιμέλειας του ανηλίκου στην υπηρεσία επιμελητών ανηλίκων</w:t>
      </w:r>
      <w:r>
        <w:rPr>
          <w:rFonts w:ascii="Century" w:hAnsi="Century"/>
          <w:sz w:val="24"/>
          <w:szCs w:val="24"/>
        </w:rPr>
        <w:t>,</w:t>
      </w:r>
      <w:r w:rsidRPr="00EC239C">
        <w:rPr>
          <w:rFonts w:ascii="Century" w:hAnsi="Century"/>
          <w:sz w:val="24"/>
          <w:szCs w:val="24"/>
        </w:rPr>
        <w:t xml:space="preserve"> </w:t>
      </w:r>
      <w:r w:rsidRPr="00550AF3">
        <w:rPr>
          <w:rFonts w:ascii="Century" w:hAnsi="Century"/>
          <w:sz w:val="24"/>
          <w:szCs w:val="24"/>
        </w:rPr>
        <w:t>η παρακολούθηση από τον ανήλικο κοινωνικών και ψυχολογικών προγραμμάτων</w:t>
      </w:r>
      <w:r>
        <w:rPr>
          <w:rFonts w:ascii="Century" w:hAnsi="Century"/>
          <w:sz w:val="24"/>
          <w:szCs w:val="24"/>
        </w:rPr>
        <w:t xml:space="preserve">, </w:t>
      </w:r>
      <w:r w:rsidRPr="00550AF3">
        <w:rPr>
          <w:rFonts w:ascii="Century" w:hAnsi="Century"/>
          <w:sz w:val="24"/>
          <w:szCs w:val="24"/>
        </w:rPr>
        <w:t>η αποζημίωση του θύματος</w:t>
      </w:r>
      <w:r>
        <w:rPr>
          <w:rFonts w:ascii="Century" w:hAnsi="Century"/>
          <w:sz w:val="24"/>
          <w:szCs w:val="24"/>
        </w:rPr>
        <w:t xml:space="preserve"> και η</w:t>
      </w:r>
      <w:r w:rsidRPr="00550AF3">
        <w:rPr>
          <w:rFonts w:ascii="Century" w:hAnsi="Century"/>
          <w:sz w:val="24"/>
          <w:szCs w:val="24"/>
        </w:rPr>
        <w:t xml:space="preserve"> ανάθεση της υπεύθυνης επιμέλειας του ανηλίκου στους γονείς του</w:t>
      </w:r>
      <w:r>
        <w:rPr>
          <w:rFonts w:ascii="Century" w:hAnsi="Century"/>
          <w:sz w:val="24"/>
          <w:szCs w:val="24"/>
        </w:rPr>
        <w:t>, ενώ η τοποθέτηση σε ίδρυμα αγωγής είτε δεν επιβλήθηκε καθόλου το δικαστικό έτος 2013-2014 είτε επιβλήθηκε κατ΄ ανώτατο όριο πέντε φορές κατά το δικαστικό έτος 2012-2013. Όσον αφορά δε το Τριμελές Δικαστήριο Ανηλίκων το αναμορφωτικό μέτρο που συχνότερα επιβάλλεται είναι η</w:t>
      </w:r>
      <w:r w:rsidRPr="00550AF3">
        <w:rPr>
          <w:rFonts w:ascii="Century" w:hAnsi="Century"/>
          <w:sz w:val="24"/>
          <w:szCs w:val="24"/>
        </w:rPr>
        <w:t xml:space="preserve"> παροχή κοινωφελούς εργασίας από τον ανήλικο</w:t>
      </w:r>
      <w:r w:rsidRPr="00DC2E6A">
        <w:rPr>
          <w:rFonts w:ascii="Century" w:hAnsi="Century"/>
          <w:sz w:val="24"/>
          <w:szCs w:val="24"/>
        </w:rPr>
        <w:t xml:space="preserve"> </w:t>
      </w:r>
      <w:r>
        <w:rPr>
          <w:rFonts w:ascii="Century" w:hAnsi="Century"/>
          <w:sz w:val="24"/>
          <w:szCs w:val="24"/>
        </w:rPr>
        <w:t>και ακολουθούν με μικρές διαφοροποιήσεις κατ΄ έτος η τοποθέτηση σε ίδρυμα αγωγής, η</w:t>
      </w:r>
      <w:r w:rsidRPr="00EC239C">
        <w:rPr>
          <w:rFonts w:ascii="Century" w:hAnsi="Century"/>
          <w:sz w:val="24"/>
          <w:szCs w:val="24"/>
        </w:rPr>
        <w:t xml:space="preserve"> </w:t>
      </w:r>
      <w:r w:rsidRPr="00550AF3">
        <w:rPr>
          <w:rFonts w:ascii="Century" w:hAnsi="Century"/>
          <w:sz w:val="24"/>
          <w:szCs w:val="24"/>
        </w:rPr>
        <w:t>ανάθεση της επιμέλειας του ανηλίκου στην υπηρεσία επιμελητών ανηλίκων</w:t>
      </w:r>
      <w:r>
        <w:rPr>
          <w:rFonts w:ascii="Century" w:hAnsi="Century"/>
          <w:sz w:val="24"/>
          <w:szCs w:val="24"/>
        </w:rPr>
        <w:t>,</w:t>
      </w:r>
      <w:r w:rsidRPr="00DC2E6A">
        <w:rPr>
          <w:rFonts w:ascii="Century" w:hAnsi="Century"/>
          <w:sz w:val="24"/>
          <w:szCs w:val="24"/>
        </w:rPr>
        <w:t xml:space="preserve"> </w:t>
      </w:r>
      <w:r w:rsidRPr="00550AF3">
        <w:rPr>
          <w:rFonts w:ascii="Century" w:hAnsi="Century"/>
          <w:sz w:val="24"/>
          <w:szCs w:val="24"/>
        </w:rPr>
        <w:t>η παρακολούθηση από τον ανήλικο κοινωνικών και ψυχολογικών προγραμμάτων</w:t>
      </w:r>
      <w:r w:rsidRPr="00DC2E6A">
        <w:rPr>
          <w:rFonts w:ascii="Century" w:hAnsi="Century"/>
          <w:sz w:val="24"/>
          <w:szCs w:val="24"/>
        </w:rPr>
        <w:t xml:space="preserve"> </w:t>
      </w:r>
      <w:r>
        <w:rPr>
          <w:rFonts w:ascii="Century" w:hAnsi="Century"/>
          <w:sz w:val="24"/>
          <w:szCs w:val="24"/>
        </w:rPr>
        <w:t>και η</w:t>
      </w:r>
      <w:r w:rsidRPr="00550AF3">
        <w:rPr>
          <w:rFonts w:ascii="Century" w:hAnsi="Century"/>
          <w:sz w:val="24"/>
          <w:szCs w:val="24"/>
        </w:rPr>
        <w:t xml:space="preserve"> ανάθεση της υπεύθυνης επιμέλειας του ανηλίκου στους γονείς του</w:t>
      </w:r>
      <w:r>
        <w:rPr>
          <w:rFonts w:ascii="Century" w:hAnsi="Century"/>
          <w:sz w:val="24"/>
          <w:szCs w:val="24"/>
        </w:rPr>
        <w:t>.</w:t>
      </w:r>
      <w:r w:rsidRPr="00550AF3">
        <w:rPr>
          <w:rFonts w:ascii="Century" w:hAnsi="Century"/>
          <w:sz w:val="24"/>
          <w:szCs w:val="24"/>
        </w:rPr>
        <w:t xml:space="preserve"> Τα θεραπευτικά μέτρα διατάσσονται από το δικαστήριο σε περίπτωση που η κατάσταση του ανηλίκου απαιτεί ιδιαίτερη μεταχείριση, ιδίως αν πάσχει από ψυχική ασθένεια ή τελεί σε νοσηρή διατάραξη των πνευματικών του λειτουργιών ή από οργανική νόσο ή κατάσταση που του δημιουργεί σοβαρή σωματική δυσλειτουργία ή του έχει γίνει έξη η χρήση οινοπνευματωδών ποτών ή ναρκωτικών ουσιών και δεν μπορεί να την αποβάλει με τις δικές του δυνάμεις ή εμφανίζει ανώμαλη καθυστέρηση στην πνευματική και την ηθική του ανάπτυξη και είναι τα ακόλουθα: α) η ανάθεση της υπεύθυνης επιμέλειας του ανηλίκου στους γονείς, στους επιτρόπους του ή στην ανάδοχη οικογένεια, β) η ανάθεση της επιμέλειας του ανηλίκου σε προστατευτικές εταιρίες ή σε επιμελητές ανηλίκων, γ) η παρακολούθηση συμβουλευτικού θεραπευτικού προγράμματος από τον ανήλικο και δ) η παραπομπή του ανηλίκου σε θεραπευτικό ή άλλο κατάλληλο κατάστημα. Τα ανωτέρω, ωστόσο, θεραπευτικά μέτρα διατάσσονται μόνο ύστερα από προηγούμενη διάγνωση και γνωμοδότηση από εξειδικευμένη ομάδα ιατρών, ψυχολόγων και κοινωνικών λειτουργών, οι οποίοι κατά περίπτωση </w:t>
      </w:r>
      <w:r w:rsidRPr="00550AF3">
        <w:rPr>
          <w:rFonts w:ascii="Century" w:hAnsi="Century"/>
          <w:sz w:val="24"/>
          <w:szCs w:val="24"/>
        </w:rPr>
        <w:lastRenderedPageBreak/>
        <w:t>υπάγονται σε Μονάδα του Υπουργείου Δικαιοσύνης ή σε ιατρικά κέντρα υγείας ή κρατικά νοσηλευτικά ιδρύματα, ενώ σε περίπτωση ανηλίκου χρήστη ναρκωτικών και προκειμένου να διαπιστωθεί εάν η χρήση του έχει γίνει έξη και δεν μπορεί να την αποβάλει με τις δικές του δυνάμεις, το δικαστήριο πριν επιβάλει τα ανωτέρω θεραπευτικά μέτρα διατάσσει ψυχιατρική πραγματογνωμοσύνη και εργαστηριακή εξέταση. Οι αυστηρές αυτές προϋποθέσεις</w:t>
      </w:r>
      <w:r>
        <w:rPr>
          <w:rFonts w:ascii="Century" w:hAnsi="Century"/>
          <w:sz w:val="24"/>
          <w:szCs w:val="24"/>
        </w:rPr>
        <w:t>, που τίθενται στο νόμο</w:t>
      </w:r>
      <w:r w:rsidRPr="00550AF3">
        <w:rPr>
          <w:rFonts w:ascii="Century" w:hAnsi="Century"/>
          <w:sz w:val="24"/>
          <w:szCs w:val="24"/>
        </w:rPr>
        <w:t xml:space="preserve"> και δη η </w:t>
      </w:r>
      <w:r>
        <w:rPr>
          <w:rFonts w:ascii="Century" w:hAnsi="Century"/>
          <w:sz w:val="24"/>
          <w:szCs w:val="24"/>
        </w:rPr>
        <w:t xml:space="preserve">αναγκαιότητα </w:t>
      </w:r>
      <w:r w:rsidRPr="00550AF3">
        <w:rPr>
          <w:rFonts w:ascii="Century" w:hAnsi="Century"/>
          <w:sz w:val="24"/>
          <w:szCs w:val="24"/>
        </w:rPr>
        <w:t>διάγνωση</w:t>
      </w:r>
      <w:r>
        <w:rPr>
          <w:rFonts w:ascii="Century" w:hAnsi="Century"/>
          <w:sz w:val="24"/>
          <w:szCs w:val="24"/>
        </w:rPr>
        <w:t>ς της κατάστασης του ανηλίκου</w:t>
      </w:r>
      <w:r w:rsidRPr="00550AF3">
        <w:rPr>
          <w:rFonts w:ascii="Century" w:hAnsi="Century"/>
          <w:sz w:val="24"/>
          <w:szCs w:val="24"/>
        </w:rPr>
        <w:t xml:space="preserve"> από εξειδικευμένη ομάδα ιατρών και η διενέργεια ψυχιατρικής πραγματογνωμοσύνης</w:t>
      </w:r>
      <w:r>
        <w:rPr>
          <w:rFonts w:ascii="Century" w:hAnsi="Century"/>
          <w:sz w:val="24"/>
          <w:szCs w:val="24"/>
        </w:rPr>
        <w:t xml:space="preserve"> προκειμένου περί</w:t>
      </w:r>
      <w:r w:rsidRPr="00550AF3">
        <w:rPr>
          <w:rFonts w:ascii="Century" w:hAnsi="Century"/>
          <w:sz w:val="24"/>
          <w:szCs w:val="24"/>
        </w:rPr>
        <w:t xml:space="preserve"> ανηλίκου χρήστη ναρκωτικών</w:t>
      </w:r>
      <w:r>
        <w:rPr>
          <w:rFonts w:ascii="Century" w:hAnsi="Century"/>
          <w:sz w:val="24"/>
          <w:szCs w:val="24"/>
        </w:rPr>
        <w:t xml:space="preserve"> ουσιών</w:t>
      </w:r>
      <w:r w:rsidRPr="00550AF3">
        <w:rPr>
          <w:rFonts w:ascii="Century" w:hAnsi="Century"/>
          <w:sz w:val="24"/>
          <w:szCs w:val="24"/>
        </w:rPr>
        <w:t>, αποτελούν και την κύρια αιτία μη επιβολής στην πράξη θεραπευτικών μέτρων από τα Δικαστήρια Ανηλίκων, Μονομελή και Τριμελή.</w:t>
      </w:r>
      <w:r w:rsidRPr="004558AC">
        <w:rPr>
          <w:rFonts w:ascii="Century" w:hAnsi="Century"/>
          <w:sz w:val="24"/>
          <w:szCs w:val="24"/>
        </w:rPr>
        <w:t xml:space="preserve"> </w:t>
      </w:r>
      <w:r>
        <w:rPr>
          <w:rFonts w:ascii="Century" w:hAnsi="Century"/>
          <w:sz w:val="24"/>
          <w:szCs w:val="24"/>
        </w:rPr>
        <w:t>Ακόμη δε και στην περίπτωση του αδικήματος της χρήσης ναρκωτικών ουσιών σε ποσότητα που αποδεδειγμένα εξυπηρετεί αποκλειστικά τις ανάγκες του δράστη, το γνωστό άρθρο 29 παρ. 1 του Ν. 4139/2013, που όπως θα παραθέσω αργότερα, δυστυχώς</w:t>
      </w:r>
      <w:r w:rsidRPr="00550AF3">
        <w:rPr>
          <w:rFonts w:ascii="Century" w:hAnsi="Century"/>
          <w:sz w:val="24"/>
          <w:szCs w:val="24"/>
        </w:rPr>
        <w:t xml:space="preserve"> </w:t>
      </w:r>
      <w:r>
        <w:rPr>
          <w:rFonts w:ascii="Century" w:hAnsi="Century"/>
          <w:sz w:val="24"/>
          <w:szCs w:val="24"/>
        </w:rPr>
        <w:t xml:space="preserve">αυξάνονται με γεωμετρική πρόοδο κάθε χρόνο, δεν επιβάλλονται από το δικαστήριο θεραπευτικά μέτρα αλλά το αναμορφωτικό μέτρο της </w:t>
      </w:r>
      <w:r w:rsidRPr="00550AF3">
        <w:rPr>
          <w:rFonts w:ascii="Century" w:hAnsi="Century"/>
          <w:sz w:val="24"/>
          <w:szCs w:val="24"/>
        </w:rPr>
        <w:t>παρακολούθηση</w:t>
      </w:r>
      <w:r>
        <w:rPr>
          <w:rFonts w:ascii="Century" w:hAnsi="Century"/>
          <w:sz w:val="24"/>
          <w:szCs w:val="24"/>
        </w:rPr>
        <w:t>ς επί τρίμηνο</w:t>
      </w:r>
      <w:r w:rsidRPr="00550AF3">
        <w:rPr>
          <w:rFonts w:ascii="Century" w:hAnsi="Century"/>
          <w:sz w:val="24"/>
          <w:szCs w:val="24"/>
        </w:rPr>
        <w:t xml:space="preserve"> από τον ανήλικο </w:t>
      </w:r>
      <w:r w:rsidRPr="004558AC">
        <w:rPr>
          <w:rFonts w:ascii="Century" w:hAnsi="Century"/>
          <w:sz w:val="24"/>
          <w:szCs w:val="24"/>
        </w:rPr>
        <w:t xml:space="preserve">του συμβουλευτικού προγράμματος «ΑΝΑΔΥΣΙΣ» του ΚΕΘΕΑ. Ο λόγος δε που προκρίνεται η παρακολούθηση του ως άνω συμβουλευτικού προγράμματος ως αναμορφωτικό μέτρο και </w:t>
      </w:r>
      <w:r>
        <w:rPr>
          <w:rFonts w:ascii="Century" w:hAnsi="Century"/>
          <w:sz w:val="24"/>
          <w:szCs w:val="24"/>
        </w:rPr>
        <w:t xml:space="preserve">δεν </w:t>
      </w:r>
      <w:r w:rsidRPr="004558AC">
        <w:rPr>
          <w:rFonts w:ascii="Century" w:hAnsi="Century"/>
          <w:sz w:val="24"/>
          <w:szCs w:val="24"/>
        </w:rPr>
        <w:t xml:space="preserve"> επιβάλλονται από το Δικαστήριο θεραπευτικά μέτρα είναι ότι σε περιπτώσεις χρηστών ναρκωτικών ουσιών η ψυχιατρική πραγματογνωμοσύνη που υποχρεωτικά διατάσσεται, προκειμένου να διαπιστωθεί εάν ο ανήλικος είναι εξαρτημένος, αποτελεί μία εξαιρετικά χρονοβόρα διαδικασία, που κάποιες φορές μπορεί να ολοκληρωθεί όταν πια θα είναι αργά για τον ανήλικο χρήστη</w:t>
      </w:r>
      <w:r>
        <w:rPr>
          <w:rFonts w:ascii="Century" w:hAnsi="Century"/>
          <w:sz w:val="24"/>
          <w:szCs w:val="24"/>
        </w:rPr>
        <w:t xml:space="preserve">. Αξίζει να σημειώσουμε στο σημείο αυτό ότι και στο Τριμελές Δικαστήριο Ανηλίκων, που δικάζει τις πράξεις εμπορίας ναρκωτικών ουσιών, το γνωστό άρθρο 20 με τις ιδιαίτερες και διακεκριμένες περιπτώσεις των άρθρων </w:t>
      </w:r>
      <w:r w:rsidRPr="008A7677">
        <w:rPr>
          <w:rFonts w:ascii="Century" w:hAnsi="Century"/>
          <w:sz w:val="24"/>
          <w:szCs w:val="24"/>
        </w:rPr>
        <w:t>21</w:t>
      </w:r>
      <w:r>
        <w:rPr>
          <w:rFonts w:ascii="Century" w:hAnsi="Century"/>
          <w:sz w:val="24"/>
          <w:szCs w:val="24"/>
        </w:rPr>
        <w:t xml:space="preserve"> και</w:t>
      </w:r>
      <w:r w:rsidRPr="008A7677">
        <w:rPr>
          <w:rFonts w:ascii="Century" w:hAnsi="Century"/>
          <w:sz w:val="24"/>
          <w:szCs w:val="24"/>
        </w:rPr>
        <w:t xml:space="preserve"> 22</w:t>
      </w:r>
      <w:r>
        <w:rPr>
          <w:rFonts w:ascii="Century" w:hAnsi="Century"/>
          <w:sz w:val="24"/>
          <w:szCs w:val="24"/>
        </w:rPr>
        <w:t xml:space="preserve"> και τα εγκλήματα των άρθρων</w:t>
      </w:r>
      <w:r w:rsidRPr="008A7677">
        <w:rPr>
          <w:rFonts w:ascii="Century" w:hAnsi="Century"/>
          <w:sz w:val="24"/>
          <w:szCs w:val="24"/>
        </w:rPr>
        <w:t xml:space="preserve"> 24</w:t>
      </w:r>
      <w:r>
        <w:rPr>
          <w:rFonts w:ascii="Century" w:hAnsi="Century"/>
          <w:sz w:val="24"/>
          <w:szCs w:val="24"/>
        </w:rPr>
        <w:t xml:space="preserve"> και</w:t>
      </w:r>
      <w:r w:rsidRPr="008A7677">
        <w:rPr>
          <w:rFonts w:ascii="Century" w:hAnsi="Century"/>
          <w:sz w:val="24"/>
          <w:szCs w:val="24"/>
        </w:rPr>
        <w:t xml:space="preserve"> 25 του</w:t>
      </w:r>
      <w:r>
        <w:rPr>
          <w:rFonts w:ascii="Century" w:hAnsi="Century"/>
          <w:sz w:val="24"/>
          <w:szCs w:val="24"/>
        </w:rPr>
        <w:t xml:space="preserve"> Ν. 4139/2013, </w:t>
      </w:r>
      <w:r w:rsidRPr="00354E9E">
        <w:rPr>
          <w:rFonts w:ascii="Century" w:hAnsi="Century"/>
          <w:sz w:val="24"/>
          <w:szCs w:val="24"/>
        </w:rPr>
        <w:t>όπως και σε</w:t>
      </w:r>
      <w:r>
        <w:rPr>
          <w:rFonts w:ascii="Century" w:hAnsi="Century"/>
          <w:sz w:val="24"/>
          <w:szCs w:val="24"/>
        </w:rPr>
        <w:t xml:space="preserve"> </w:t>
      </w:r>
      <w:r w:rsidRPr="00354E9E">
        <w:rPr>
          <w:rFonts w:ascii="Century" w:hAnsi="Century"/>
          <w:sz w:val="24"/>
          <w:szCs w:val="24"/>
        </w:rPr>
        <w:t>περίπτωση εγκλήματος που φέρεται ότι τελέστηκε για να διευκολυνθεί η χρήση ναρκωτικών ουσιών, εφόσον τα εγκλήματα αυτά έχουν τελεστεί από πρόσωπο το οποίο απέκτησε την έξη της χρήσης ναρκωτικών ουσιών και δεν μπορεί να την αποβάλει με τις δικές του δυνάμεις</w:t>
      </w:r>
      <w:r>
        <w:rPr>
          <w:rFonts w:ascii="Century" w:hAnsi="Century"/>
          <w:sz w:val="24"/>
          <w:szCs w:val="24"/>
        </w:rPr>
        <w:t>, σύμφωνα με τη διάταξη του άρθρου 39 του . 4139/2013</w:t>
      </w:r>
      <w:r w:rsidRPr="008A7677">
        <w:rPr>
          <w:rFonts w:ascii="Century" w:hAnsi="Century"/>
          <w:sz w:val="24"/>
          <w:szCs w:val="24"/>
        </w:rPr>
        <w:t xml:space="preserve"> επιβάλλεται</w:t>
      </w:r>
      <w:r>
        <w:rPr>
          <w:rFonts w:ascii="Century" w:hAnsi="Century"/>
          <w:sz w:val="24"/>
          <w:szCs w:val="24"/>
        </w:rPr>
        <w:t xml:space="preserve"> στην πράξη πάντοτε και όχι δυνητικά όπως αναφέρεται στο νόμο</w:t>
      </w:r>
      <w:r w:rsidRPr="008A7677">
        <w:rPr>
          <w:rFonts w:ascii="Century" w:hAnsi="Century"/>
          <w:sz w:val="24"/>
          <w:szCs w:val="24"/>
        </w:rPr>
        <w:t xml:space="preserve"> αντί της ποινής η παρακολούθηση ειδικού προγράμματος απεξάρτησης ανηλίκων.</w:t>
      </w:r>
      <w:r>
        <w:rPr>
          <w:rFonts w:ascii="Century" w:hAnsi="Century"/>
          <w:sz w:val="24"/>
          <w:szCs w:val="24"/>
        </w:rPr>
        <w:t xml:space="preserve"> Πριν περάσουμε στον ποινικό σωφρονισμό θα αναφερθούμε λίγο ακόμη στις περιπτώσεις των χρηστών ναρκωτικών ουσιών, καθώς </w:t>
      </w:r>
      <w:r w:rsidRPr="00503132">
        <w:rPr>
          <w:rFonts w:ascii="Century" w:hAnsi="Century"/>
          <w:sz w:val="24"/>
          <w:szCs w:val="24"/>
        </w:rPr>
        <w:t>κάθε χρόνο όλο και περισσότερα παιδιά μπαίνουν στον κόσμο των ναρκωτικών</w:t>
      </w:r>
      <w:r>
        <w:rPr>
          <w:rFonts w:ascii="Century" w:hAnsi="Century"/>
          <w:sz w:val="24"/>
          <w:szCs w:val="24"/>
        </w:rPr>
        <w:t xml:space="preserve"> και τα</w:t>
      </w:r>
      <w:r w:rsidRPr="00503132">
        <w:rPr>
          <w:rFonts w:ascii="Century" w:hAnsi="Century"/>
          <w:sz w:val="24"/>
          <w:szCs w:val="24"/>
        </w:rPr>
        <w:t xml:space="preserve"> στατιστικά δεδομένα που</w:t>
      </w:r>
      <w:r>
        <w:rPr>
          <w:rFonts w:ascii="Century" w:hAnsi="Century"/>
          <w:sz w:val="24"/>
          <w:szCs w:val="24"/>
        </w:rPr>
        <w:t xml:space="preserve"> θα παραθέσω</w:t>
      </w:r>
      <w:r w:rsidRPr="00503132">
        <w:rPr>
          <w:rFonts w:ascii="Century" w:hAnsi="Century"/>
          <w:sz w:val="24"/>
          <w:szCs w:val="24"/>
        </w:rPr>
        <w:t xml:space="preserve"> εναργώς αποκαλύπτουν το μέγεθος του προβλήματος.</w:t>
      </w:r>
    </w:p>
    <w:p w:rsidR="00DC5551" w:rsidRPr="00503132" w:rsidRDefault="00DC5551" w:rsidP="00DC5551">
      <w:pPr>
        <w:numPr>
          <w:ilvl w:val="0"/>
          <w:numId w:val="1"/>
        </w:numPr>
        <w:jc w:val="both"/>
        <w:rPr>
          <w:rFonts w:ascii="Century" w:hAnsi="Century"/>
          <w:i/>
          <w:sz w:val="24"/>
          <w:szCs w:val="24"/>
        </w:rPr>
      </w:pPr>
      <w:r w:rsidRPr="00503132">
        <w:rPr>
          <w:rFonts w:ascii="Century" w:hAnsi="Century"/>
          <w:sz w:val="24"/>
          <w:szCs w:val="24"/>
        </w:rPr>
        <w:t xml:space="preserve">Κατά το δικαστικό έτος 2009-2010 σε σύνολο 1411 παραβατικών ανηλίκων, 37 ήταν οι ανήλικοι που εισήχθησαν στο Μονομελές Δικαστήριο Ανηλίκων για παράβαση του Νόμου περί </w:t>
      </w:r>
      <w:r w:rsidRPr="00503132">
        <w:rPr>
          <w:rFonts w:ascii="Century" w:hAnsi="Century"/>
          <w:sz w:val="24"/>
          <w:szCs w:val="24"/>
        </w:rPr>
        <w:lastRenderedPageBreak/>
        <w:t>ναρκωτικών, αποτελώντας η ανωτέρω παράβαση αυτή την έκτη κατά σειρά συχνότερη παράβαση των ανηλίκων, με πρώτη την παράβαση του ΚΟΚ (796 ανήλικοι), δεύτερη την παράβαση του Νόμου περί αλλοδαπών (217 ανήλικοι), τρίτη τα αδικήματα κατά της ιδιοκτησίας (157 ανήλικοι) και τέταρτη και πέμπτη την επαιτεία και τα αδικήματα κατά της σωματικής ακεραιότητας (42 ανήλικοι σε κάθε κατηγορία).</w:t>
      </w:r>
    </w:p>
    <w:p w:rsidR="00DC5551" w:rsidRPr="00503132" w:rsidRDefault="00DC5551" w:rsidP="00DC5551">
      <w:pPr>
        <w:numPr>
          <w:ilvl w:val="0"/>
          <w:numId w:val="1"/>
        </w:numPr>
        <w:jc w:val="both"/>
        <w:rPr>
          <w:rFonts w:ascii="Century" w:hAnsi="Century"/>
          <w:i/>
          <w:sz w:val="24"/>
          <w:szCs w:val="24"/>
        </w:rPr>
      </w:pPr>
      <w:r w:rsidRPr="00503132">
        <w:rPr>
          <w:rFonts w:ascii="Century" w:hAnsi="Century"/>
          <w:sz w:val="24"/>
          <w:szCs w:val="24"/>
        </w:rPr>
        <w:t>Κατά το δικαστικό έτος 2010-2011 σε σύνολο 1533 παραβατικών ανηλίκων, ο αριθμός των ανηλίκων που εισήχθησαν στο Μονομελές Δικαστήριο Ανηλίκων για παράβαση του Νόμου περί ναρκωτικών αυξάνεται από 37 το προηγούμενο έτος σε 54, ήτοι ενώ ο συνολικός αριθμός των παραβατικών ανηλίκων παρουσιάζει αύξηση μόλις 9%, ο αριθμός των ανηλίκων που εισήχθησαν στο Μονομελές Δικαστήριο Ανηλίκων για παράβαση του Νόμου περί ναρκωτικών παρουσιάζει μία αύξηση της τάξης του 46%, αποτελώντας πια την τέταρτη έναντι της έκτης το προηγούμενο έτος κατά σειρά συχνότερη παράβαση των ανηλίκων, με πρώτη και  πάλι την παράβαση του ΚΟΚ (949 ανήλικοι), δεύτερη την παράβαση του Νόμου περί αλλοδαπών (166 ανήλικοι) και τρίτη τα αδικήματα κατά της ιδιοκτησίας (161 ανήλικοι).</w:t>
      </w:r>
    </w:p>
    <w:p w:rsidR="00DC5551" w:rsidRPr="00503132" w:rsidRDefault="00DC5551" w:rsidP="00DC5551">
      <w:pPr>
        <w:numPr>
          <w:ilvl w:val="0"/>
          <w:numId w:val="1"/>
        </w:numPr>
        <w:jc w:val="both"/>
        <w:rPr>
          <w:rFonts w:ascii="Century" w:hAnsi="Century"/>
          <w:i/>
          <w:sz w:val="24"/>
          <w:szCs w:val="24"/>
        </w:rPr>
      </w:pPr>
      <w:r w:rsidRPr="00503132">
        <w:rPr>
          <w:rFonts w:ascii="Century" w:hAnsi="Century"/>
          <w:sz w:val="24"/>
          <w:szCs w:val="24"/>
        </w:rPr>
        <w:t>Κατά το δικαστικό έτος 2011-2012 σε σύνολο 1574 υποθέσεων παραβατικών ανηλίκων, ο αριθμός των υποθέσεων που εισήχθησαν στο Μονομελές Δικαστήριο Ανηλίκων για παράβαση του Νόμου περί ναρκωτικών αυξάνεται από 54 το προηγούμενο έτος σε 76, ήτοι παρουσιάζεται μία αύξηση της τάξης του 41%, αποτελώντας και πάλι την τέταρτη κατά σειρά συχνότερη παράβαση των ανηλίκων, με πρώτη και  πάλι την παράβαση του ΚΟΚ (585 υποθέσεις), δεύτερη τα αδικήματα κατά της ιδιοκτησίας (253 υποθέσεις) και τρίτη την παράβαση του Νόμου περί αλλοδαπών (234 υποθέσεις).</w:t>
      </w:r>
    </w:p>
    <w:p w:rsidR="00DC5551" w:rsidRPr="00503132" w:rsidRDefault="00DC5551" w:rsidP="00DC5551">
      <w:pPr>
        <w:numPr>
          <w:ilvl w:val="0"/>
          <w:numId w:val="1"/>
        </w:numPr>
        <w:jc w:val="both"/>
        <w:rPr>
          <w:rFonts w:ascii="Century" w:hAnsi="Century"/>
          <w:sz w:val="24"/>
          <w:szCs w:val="24"/>
        </w:rPr>
      </w:pPr>
      <w:r w:rsidRPr="00503132">
        <w:rPr>
          <w:rFonts w:ascii="Century" w:hAnsi="Century"/>
          <w:sz w:val="24"/>
          <w:szCs w:val="24"/>
        </w:rPr>
        <w:t>Κατά το δικαστικό έτος 2012-2013 σε σύνολο 853 υποθέσεων παραβατικών ανηλίκων, ο αριθμός των υποθέσεων που εισήχθησαν στο Μονομελές Δικαστήριο Ανηλίκων για παράβαση του Νόμου περί ναρκωτικών αυξάνεται από 76 το προηγούμενο έτος σε 83, ήτοι παρουσιάζεται μία αύξηση της τάξης του 10%, αποτελώντας και πάλι την τέταρτη κατά σειρά συχνότερη παράβαση των ανηλίκων, με πρώτη τα αδικήματα κατά της ιδιοκτησίας (231 υποθέσεις), δεύτερη την παράβαση του ΚΟΚ (178 υποθέσεις) και τρίτη την παράβαση του Νόμου περί αλλοδαπών (93 υποθέσεις).</w:t>
      </w:r>
    </w:p>
    <w:p w:rsidR="00DC5551" w:rsidRPr="00503132" w:rsidRDefault="00DC5551" w:rsidP="00DC5551">
      <w:pPr>
        <w:numPr>
          <w:ilvl w:val="0"/>
          <w:numId w:val="1"/>
        </w:numPr>
        <w:jc w:val="both"/>
        <w:rPr>
          <w:rFonts w:ascii="Century" w:hAnsi="Century"/>
          <w:sz w:val="24"/>
          <w:szCs w:val="24"/>
        </w:rPr>
      </w:pPr>
      <w:r w:rsidRPr="00503132">
        <w:rPr>
          <w:rFonts w:ascii="Century" w:hAnsi="Century"/>
          <w:sz w:val="24"/>
          <w:szCs w:val="24"/>
        </w:rPr>
        <w:lastRenderedPageBreak/>
        <w:t>Κατά το δικαστικό έτος 2013-2014 σε σύνολο 635 υποθέσεων παραβατικών ανηλίκων, ο αριθμός των υποθέσεων που εισήχθησαν στο Μονομελές Δικαστήριο Ανηλίκων για παράβαση του Νόμου περί ναρκωτικών μειώνεται από 83 το προηγούμενο έτος σε 44 χωρίς αυτή η μείωση που αποτυπώνεται στα στατιστικά στοιχεία να ανταποκρίνεται και στην πραγματικότητα, καθώς μεσολάβησε ο Ν. 4198/2013 και οι όλες οι υποθέσεις κατοχής και χρήσης ναρκωτικών ουσιών που τελέσθηκαν μέχρι την 31-08-2013 τέθηκαν στο αρχείο σύμφωνα με τη διάταξη του άρθρου 8 παρ. 3</w:t>
      </w:r>
      <w:r w:rsidRPr="00503132">
        <w:rPr>
          <w:rFonts w:ascii="Century" w:hAnsi="Century"/>
          <w:sz w:val="24"/>
          <w:szCs w:val="24"/>
          <w:vertAlign w:val="superscript"/>
        </w:rPr>
        <w:t>α</w:t>
      </w:r>
      <w:r w:rsidRPr="00503132">
        <w:rPr>
          <w:rFonts w:ascii="Century" w:hAnsi="Century"/>
          <w:sz w:val="24"/>
          <w:szCs w:val="24"/>
        </w:rPr>
        <w:t xml:space="preserve"> περ. β του ανωτέρω νόμου, ενώ και παρά την ανωτέρω φαινομενική μείωση του αριθμού των υποθέσεων λόγω της ψήφισης του Ν. 4198/2013, η παράβαση του νόμου περί ναρκωτικών αποτελεί πια την τρίτη κατά σειρά συχνότερη παράβαση των ανηλίκων, με πρώτη την παράβαση του ΚΟΚ (232 υποθέσεις) και δεύτερα τα αδικήματα κατά της ιδιοκτησίας (145 υποθέσεις).</w:t>
      </w:r>
    </w:p>
    <w:p w:rsidR="00DC5551" w:rsidRPr="004558AC" w:rsidRDefault="00DC5551" w:rsidP="00DC5551">
      <w:pPr>
        <w:jc w:val="both"/>
        <w:rPr>
          <w:rFonts w:ascii="Century" w:hAnsi="Century"/>
          <w:sz w:val="24"/>
          <w:szCs w:val="24"/>
        </w:rPr>
      </w:pPr>
      <w:r w:rsidRPr="004558AC">
        <w:rPr>
          <w:rFonts w:ascii="Century" w:hAnsi="Century"/>
          <w:sz w:val="24"/>
          <w:szCs w:val="24"/>
        </w:rPr>
        <w:t xml:space="preserve">Αυτό που μας ενδιαφέρει σε αυτές τις περιπτώσεις παιδιών που κάνουν ειδικότερα χρήση ινδικής κάνναβης είναι να ανατρέψουμε την ευρέως διαδεδομένη αντίληψη των παιδιών ότι η ινδική κάνναβη δεν αποτελεί ναρκωτική ουσία και δεν προκαλεί εξάρτηση, όπως οι άλλες εξαρτησιογόνες ουσίες, ηρωίνη, κοκαΐνη και γι΄ αυτό το λόγο δεν τιμωρείται σε κάποιες χώρες του εξωτερικού. Ο ρόλος μας, λοιπόν, ως Εισαγγελείς Ανηλίκων είναι να βοηθήσουμε τα παιδιά να εμπεδώσουν την αντίληψη ότι η πράξη αυτή δεν επιδοκιμάζεται από την πολιτεία αλλά αντίθετα συνιστά ποινικό αδίκημα, να τα ευαισθητοποιήσουμε να συνειδητοποιήσουν τους κινδύνους που διατρέχει η σωματική και ψυχική τους υγεία, να τους επισημάνουμε ότι η χρήση ινδικής κάνναβης και η συναναστροφή με άτομα του χώρου των ναρκωτικών καθιστά ορατό τον κίνδυνο να περάσουν από την ινδική κάνναβη στα βαριά λεγόμενα ναρκωτικά, όπως η ηρωίνη. Παράλληλα, όμως, οφείλουμε να υποδείξουμε και στους γονείς των ανηλίκων  την ανάγκη να σταθούν ουσιαστικά στο πλευρό των παιδιών τους, να συνεργαστούν με τους εισαγγελείς και τους επιμελητές ανηλίκων, να παρακολουθήσουν και οι ίδιοι προγράμματα ψυχολογικής στήριξης και θεραπείας και να τους μεταφέρουμε την εμπειρία που διδάσκει ότι τα παιδιά που άλλαξαν συμπεριφορά είναι τα παιδιά που και οι ίδιοι οι γονείς τους άλλαξαν συμπεριφορά. Άλλωστε, η επαφή με τους ανηλίκους χρήστες δυστυχώς μας έμαθε ότι δεν υπάρχουν μόνο μετανάστες δεύτερης και τρίτης γενιάς αλλά και χρήστες δεύτερης και τρίτης γενιάς. Υπάρχουν παιδιά - και αυτό είναι πολύ συχνό - που βίωναν ως καθημερινό φαινόμενο τη χρήση ναρκωτικών από τους γονείς τους, υπάρχουν παιδιά - και αυτό είναι τραγικό - που είδαν τους γονείς τους να πεθαίνουν από τη χρήση μπροστά τους, υπάρχουν τέλος παιδιά - και αυτό δεν αντέχει στη λογική - που οι γονείς τους έκαναν σε αυτά την πρώτη ένεση ηρωίνης. </w:t>
      </w:r>
    </w:p>
    <w:p w:rsidR="00DC5551" w:rsidRDefault="00DC5551" w:rsidP="00DC5551">
      <w:pPr>
        <w:pStyle w:val="a3"/>
        <w:jc w:val="both"/>
        <w:rPr>
          <w:rFonts w:ascii="Century" w:hAnsi="Century"/>
          <w:b/>
          <w:caps/>
          <w:sz w:val="24"/>
          <w:szCs w:val="24"/>
        </w:rPr>
      </w:pPr>
    </w:p>
    <w:p w:rsidR="00DC5551" w:rsidRPr="00DC2E6A" w:rsidRDefault="00DC5551" w:rsidP="00DC5551">
      <w:pPr>
        <w:pStyle w:val="a3"/>
        <w:numPr>
          <w:ilvl w:val="0"/>
          <w:numId w:val="2"/>
        </w:numPr>
        <w:jc w:val="both"/>
        <w:rPr>
          <w:rFonts w:ascii="Century" w:hAnsi="Century"/>
          <w:b/>
          <w:caps/>
          <w:sz w:val="24"/>
          <w:szCs w:val="24"/>
        </w:rPr>
      </w:pPr>
      <w:r w:rsidRPr="00DC2E6A">
        <w:rPr>
          <w:rFonts w:ascii="Century" w:hAnsi="Century"/>
          <w:b/>
          <w:caps/>
          <w:sz w:val="24"/>
          <w:szCs w:val="24"/>
        </w:rPr>
        <w:t>Περιορισμός σε ειδικό κατάστημα κράτησης νέων</w:t>
      </w:r>
    </w:p>
    <w:p w:rsidR="00DC5551" w:rsidRDefault="00DC5551" w:rsidP="00340652">
      <w:pPr>
        <w:spacing w:after="0" w:line="240" w:lineRule="auto"/>
        <w:jc w:val="both"/>
        <w:rPr>
          <w:rFonts w:ascii="Century" w:hAnsi="Century"/>
          <w:sz w:val="24"/>
          <w:szCs w:val="24"/>
        </w:rPr>
      </w:pPr>
      <w:r>
        <w:rPr>
          <w:rFonts w:ascii="Century" w:hAnsi="Century"/>
          <w:sz w:val="24"/>
          <w:szCs w:val="24"/>
        </w:rPr>
        <w:t>Να αναφέρουμε προκαταβολικά ότι στο θεσμό του ποινικού σωφρονισμού έχουν γίνει πολλές αλλαγές τα τελευταία χρόνια ξεκινώντας από το 2003 με τον Ν. 3189/2003, στη συνέχεια το 2010 με τον Ν.</w:t>
      </w:r>
      <w:r w:rsidRPr="008B75FE">
        <w:rPr>
          <w:rFonts w:ascii="Century" w:hAnsi="Century"/>
          <w:sz w:val="24"/>
          <w:szCs w:val="24"/>
        </w:rPr>
        <w:t xml:space="preserve"> </w:t>
      </w:r>
      <w:r w:rsidRPr="00926EF0">
        <w:rPr>
          <w:rFonts w:ascii="Century" w:hAnsi="Century"/>
          <w:sz w:val="24"/>
          <w:szCs w:val="24"/>
        </w:rPr>
        <w:t>3860/2010</w:t>
      </w:r>
      <w:r>
        <w:rPr>
          <w:rFonts w:ascii="Century" w:hAnsi="Century"/>
          <w:sz w:val="24"/>
          <w:szCs w:val="24"/>
        </w:rPr>
        <w:t xml:space="preserve"> και τέλος πρόσφατα με τον Ν.4322/2015. Η πρώτη τομή έγινε με τον Ν. 3189/2003, όταν καταργήθηκε η αόριστη διάρκεια του ποινικού σωφρονισμού. Θυμίζουμε ότι μέχρι τότε η παράγραφος 2 του άρθρου 127 όριζε ότι «</w:t>
      </w:r>
      <w:r w:rsidRPr="000170C9">
        <w:rPr>
          <w:rFonts w:ascii="Century" w:hAnsi="Century"/>
          <w:i/>
          <w:sz w:val="24"/>
          <w:szCs w:val="24"/>
        </w:rPr>
        <w:t>Στην  απόφαση του δικαστηρίου ορίζεται το ελάχιστο και το  μέγιστο όριο παραμονής του εφήβου στο  κατάστημα  μέσα  στα  όρια  που  προβλέπει το άρθρο 54</w:t>
      </w:r>
      <w:r>
        <w:rPr>
          <w:rFonts w:ascii="Century" w:hAnsi="Century"/>
          <w:sz w:val="24"/>
          <w:szCs w:val="24"/>
        </w:rPr>
        <w:t>», ενώ μετά το Ν. 3189/2003 προβλέπεται πλέον στην ίδια παράγραφο του ως άνω άρθρου ότι: «</w:t>
      </w:r>
      <w:r w:rsidRPr="000170C9">
        <w:rPr>
          <w:rFonts w:ascii="Century" w:hAnsi="Century"/>
          <w:i/>
          <w:sz w:val="24"/>
          <w:szCs w:val="24"/>
        </w:rPr>
        <w:t>Στην απόφαση του δικαστηρίου ορίζεται επακριβώς ο χρόνος παραμονής του ανηλίκου στο κατάστημα αυτό σύμφωνα με το άρθρο 54</w:t>
      </w:r>
      <w:r>
        <w:rPr>
          <w:rFonts w:ascii="Century" w:hAnsi="Century"/>
          <w:sz w:val="24"/>
          <w:szCs w:val="24"/>
        </w:rPr>
        <w:t>»</w:t>
      </w:r>
      <w:r w:rsidRPr="00926EF0">
        <w:rPr>
          <w:rFonts w:ascii="Century" w:hAnsi="Century"/>
          <w:sz w:val="24"/>
          <w:szCs w:val="24"/>
        </w:rPr>
        <w:t>.</w:t>
      </w:r>
      <w:r>
        <w:rPr>
          <w:rFonts w:ascii="Century" w:hAnsi="Century"/>
          <w:sz w:val="24"/>
          <w:szCs w:val="24"/>
        </w:rPr>
        <w:t xml:space="preserve"> Ωστόσο,  ο ποινικός σωφρονισμός παρέμεινε αμετάβλητος όσον αφορά τα χρονικά του όρια, αφού το άρθρο 54 δεν τροποποιήθηκε παρά μόνο άλλαξε τίτλο (από</w:t>
      </w:r>
      <w:r w:rsidRPr="008E35A2">
        <w:rPr>
          <w:rFonts w:ascii="Century" w:hAnsi="Century"/>
          <w:sz w:val="24"/>
          <w:szCs w:val="24"/>
        </w:rPr>
        <w:t xml:space="preserve"> </w:t>
      </w:r>
      <w:r>
        <w:rPr>
          <w:rFonts w:ascii="Century" w:hAnsi="Century"/>
          <w:sz w:val="24"/>
          <w:szCs w:val="24"/>
        </w:rPr>
        <w:t>π</w:t>
      </w:r>
      <w:r w:rsidRPr="008E35A2">
        <w:rPr>
          <w:rFonts w:ascii="Century" w:hAnsi="Century"/>
          <w:sz w:val="24"/>
          <w:szCs w:val="24"/>
        </w:rPr>
        <w:t>εριορισμός σε σωφρονιστικό κατάστημα</w:t>
      </w:r>
      <w:r>
        <w:rPr>
          <w:rFonts w:ascii="Century" w:hAnsi="Century"/>
          <w:sz w:val="24"/>
          <w:szCs w:val="24"/>
        </w:rPr>
        <w:t xml:space="preserve"> τιτλοφορείται έκτοτε </w:t>
      </w:r>
      <w:r w:rsidRPr="004A75A6">
        <w:rPr>
          <w:rFonts w:ascii="Century" w:eastAsia="Times New Roman" w:hAnsi="Century" w:cs="Courier New"/>
          <w:color w:val="000000"/>
          <w:sz w:val="24"/>
          <w:szCs w:val="24"/>
          <w:lang w:eastAsia="el-GR"/>
        </w:rPr>
        <w:t>περιορισμ</w:t>
      </w:r>
      <w:r>
        <w:rPr>
          <w:rFonts w:ascii="Century" w:eastAsia="Times New Roman" w:hAnsi="Century" w:cs="Courier New"/>
          <w:color w:val="000000"/>
          <w:sz w:val="24"/>
          <w:szCs w:val="24"/>
          <w:lang w:eastAsia="el-GR"/>
        </w:rPr>
        <w:t xml:space="preserve">ός </w:t>
      </w:r>
      <w:r w:rsidRPr="004A75A6">
        <w:rPr>
          <w:rFonts w:ascii="Century" w:eastAsia="Times New Roman" w:hAnsi="Century" w:cs="Courier New"/>
          <w:color w:val="000000"/>
          <w:sz w:val="24"/>
          <w:szCs w:val="24"/>
          <w:lang w:eastAsia="el-GR"/>
        </w:rPr>
        <w:t xml:space="preserve">σε ειδικό κατάστημα </w:t>
      </w:r>
      <w:r>
        <w:rPr>
          <w:rFonts w:ascii="Century" w:eastAsia="Times New Roman" w:hAnsi="Century" w:cs="Courier New"/>
          <w:color w:val="000000"/>
          <w:sz w:val="24"/>
          <w:szCs w:val="24"/>
          <w:lang w:eastAsia="el-GR"/>
        </w:rPr>
        <w:t>κ</w:t>
      </w:r>
      <w:r w:rsidRPr="004A75A6">
        <w:rPr>
          <w:rFonts w:ascii="Century" w:eastAsia="Times New Roman" w:hAnsi="Century" w:cs="Courier New"/>
          <w:color w:val="000000"/>
          <w:sz w:val="24"/>
          <w:szCs w:val="24"/>
          <w:lang w:eastAsia="el-GR"/>
        </w:rPr>
        <w:t>ράτησης νέων</w:t>
      </w:r>
      <w:r>
        <w:rPr>
          <w:rFonts w:ascii="Century" w:eastAsia="Times New Roman" w:hAnsi="Century" w:cs="Courier New"/>
          <w:color w:val="000000"/>
          <w:sz w:val="24"/>
          <w:szCs w:val="24"/>
          <w:lang w:eastAsia="el-GR"/>
        </w:rPr>
        <w:t xml:space="preserve">) </w:t>
      </w:r>
      <w:r>
        <w:rPr>
          <w:rFonts w:ascii="Century" w:hAnsi="Century"/>
          <w:sz w:val="24"/>
          <w:szCs w:val="24"/>
        </w:rPr>
        <w:t xml:space="preserve">και τις προϋποθέσεις επιβολής του σε αντίθεση με τα διεθνώς κρατούντα αλλά και με τις αρχές της αναλογικότητας, της νομιμότητας και της ίσης μεταχείρισης. Έτσι ενώ ένας ενήλικος απειλούταν με ποινή φυλάκισης από10 ημέρες ως και 3 έτη για το αδίκημα της σωματικής βλάβης από αμέλεια, ο ανήλικος για την ίδια πράξη απειλούταν με ποινή εγκλεισμού σε ειδικό κατάστημα κράτησης νέων από 6 μήνες έως και 10 έτη. Περαιτέρω δε το πρόβλημα επετεινόταν εξαιτίας των προϋποθέσεων επιβολής του ποινικού σωφρονισμού, καθώς ουσιαστικά η επιβολή του συνδεόταν με την αβέβαιη κρίση για τη μελλοντική συμπεριφορά του ανηλίκου χωρίς κανένα περιορισμό ως προς τη βαρύτητα της πράξης που τελέστηκε. Θυμίζουμε ότι το άρθρο 127 τόσο πριν όσο και μετά το Ν. 3189/2003 όριζε ότι: </w:t>
      </w:r>
      <w:r w:rsidRPr="00E3419D">
        <w:rPr>
          <w:rFonts w:ascii="Century" w:hAnsi="Century"/>
          <w:i/>
          <w:sz w:val="24"/>
          <w:szCs w:val="24"/>
        </w:rPr>
        <w:t>«Αν το δικαστήριο ερευνώντας τις περιστάσεις υπό τις οποίες τελέστηκε η πράξη και την όλη προσωπικότητα του ανηλίκου που έχει συμπληρώσει το δέκατο τρίτο έτος της ηλικίας του κρίνει ότι είναι αναγκαίος ο ποινικός σωφρονισμός του για να συγκρατηθεί από την τέλεση νέων αξιόποινων πράξεων, τον καταδικάζει σε περιορισμό σε ειδικό κατάστημα Κράτησης νέων</w:t>
      </w:r>
      <w:r>
        <w:rPr>
          <w:rFonts w:ascii="Century" w:hAnsi="Century"/>
          <w:sz w:val="24"/>
          <w:szCs w:val="24"/>
        </w:rPr>
        <w:t>». Έτσι με τον Ν. 3860/2010 επήλθαν ουσιώδεις τροποποιήσεις τόσο</w:t>
      </w:r>
      <w:r w:rsidRPr="00E3419D">
        <w:rPr>
          <w:rFonts w:ascii="Century" w:hAnsi="Century"/>
          <w:sz w:val="24"/>
          <w:szCs w:val="24"/>
        </w:rPr>
        <w:t xml:space="preserve"> </w:t>
      </w:r>
      <w:r>
        <w:rPr>
          <w:rFonts w:ascii="Century" w:hAnsi="Century"/>
          <w:sz w:val="24"/>
          <w:szCs w:val="24"/>
        </w:rPr>
        <w:t xml:space="preserve">αναφορικά με τα χρονικά όρια του ποινικού σωφρονισμού, αφού το άρθρο 54 τροποποιήθηκε ορίζοντας πλέον ότι: </w:t>
      </w:r>
      <w:r w:rsidRPr="00E3419D">
        <w:rPr>
          <w:rFonts w:ascii="Century" w:hAnsi="Century"/>
          <w:i/>
          <w:sz w:val="24"/>
          <w:szCs w:val="24"/>
        </w:rPr>
        <w:t xml:space="preserve">« </w:t>
      </w:r>
      <w:r w:rsidRPr="004A75A6">
        <w:rPr>
          <w:rFonts w:ascii="Century" w:eastAsia="Times New Roman" w:hAnsi="Century" w:cs="Courier New"/>
          <w:i/>
          <w:color w:val="000000"/>
          <w:sz w:val="24"/>
          <w:szCs w:val="24"/>
          <w:lang w:eastAsia="el-GR"/>
        </w:rPr>
        <w:t xml:space="preserve">Η διάρκεια του περιορισμού σε ειδικό κατάστημα Κράτησης νέων δεν υπερβαίνει τα πέντε έτη ούτε είναι μικρότερη από έξι μήνες, αν για την πράξη που τελέστηκε ο νόμος απειλεί </w:t>
      </w:r>
      <w:r>
        <w:rPr>
          <w:rFonts w:ascii="Century" w:eastAsia="Times New Roman" w:hAnsi="Century" w:cs="Courier New"/>
          <w:i/>
          <w:color w:val="000000"/>
          <w:sz w:val="24"/>
          <w:szCs w:val="24"/>
          <w:lang w:eastAsia="el-GR"/>
        </w:rPr>
        <w:t>κ</w:t>
      </w:r>
      <w:r w:rsidRPr="004A75A6">
        <w:rPr>
          <w:rFonts w:ascii="Century" w:eastAsia="Times New Roman" w:hAnsi="Century" w:cs="Courier New"/>
          <w:i/>
          <w:color w:val="000000"/>
          <w:sz w:val="24"/>
          <w:szCs w:val="24"/>
          <w:lang w:eastAsia="el-GR"/>
        </w:rPr>
        <w:t xml:space="preserve">άθειρξη μέχρι δέκα έτη. Αν η απειλούμενη ποινή είναι ισόβια </w:t>
      </w:r>
      <w:r>
        <w:rPr>
          <w:rFonts w:ascii="Century" w:eastAsia="Times New Roman" w:hAnsi="Century" w:cs="Courier New"/>
          <w:i/>
          <w:color w:val="000000"/>
          <w:sz w:val="24"/>
          <w:szCs w:val="24"/>
          <w:lang w:eastAsia="el-GR"/>
        </w:rPr>
        <w:t>κ</w:t>
      </w:r>
      <w:r w:rsidRPr="004A75A6">
        <w:rPr>
          <w:rFonts w:ascii="Century" w:eastAsia="Times New Roman" w:hAnsi="Century" w:cs="Courier New"/>
          <w:i/>
          <w:color w:val="000000"/>
          <w:sz w:val="24"/>
          <w:szCs w:val="24"/>
          <w:lang w:eastAsia="el-GR"/>
        </w:rPr>
        <w:t xml:space="preserve">άθειρξη ή πρόσκαιρη μεγαλύτερη αυτής του προηγούμενου εδαφίου, η διάρκεια του περιορισμού σε ειδικό κατάστημα </w:t>
      </w:r>
      <w:r>
        <w:rPr>
          <w:rFonts w:ascii="Century" w:eastAsia="Times New Roman" w:hAnsi="Century" w:cs="Courier New"/>
          <w:i/>
          <w:color w:val="000000"/>
          <w:sz w:val="24"/>
          <w:szCs w:val="24"/>
          <w:lang w:eastAsia="el-GR"/>
        </w:rPr>
        <w:t>κ</w:t>
      </w:r>
      <w:r w:rsidRPr="004A75A6">
        <w:rPr>
          <w:rFonts w:ascii="Century" w:eastAsia="Times New Roman" w:hAnsi="Century" w:cs="Courier New"/>
          <w:i/>
          <w:color w:val="000000"/>
          <w:sz w:val="24"/>
          <w:szCs w:val="24"/>
          <w:lang w:eastAsia="el-GR"/>
        </w:rPr>
        <w:t xml:space="preserve">ράτησης δεν υπερβαίνει τα δέκα έτη ούτε είναι μικρότερη από δύο. Σε εξαιρετικές περιπτώσεις ιδιαίτερα σοβαρών εγκλημάτων που απειλούνται με ισόβια </w:t>
      </w:r>
      <w:r>
        <w:rPr>
          <w:rFonts w:ascii="Century" w:eastAsia="Times New Roman" w:hAnsi="Century" w:cs="Courier New"/>
          <w:i/>
          <w:color w:val="000000"/>
          <w:sz w:val="24"/>
          <w:szCs w:val="24"/>
          <w:lang w:eastAsia="el-GR"/>
        </w:rPr>
        <w:t>κ</w:t>
      </w:r>
      <w:r w:rsidRPr="004A75A6">
        <w:rPr>
          <w:rFonts w:ascii="Century" w:eastAsia="Times New Roman" w:hAnsi="Century" w:cs="Courier New"/>
          <w:i/>
          <w:color w:val="000000"/>
          <w:sz w:val="24"/>
          <w:szCs w:val="24"/>
          <w:lang w:eastAsia="el-GR"/>
        </w:rPr>
        <w:t xml:space="preserve">άθειρξη ή </w:t>
      </w:r>
      <w:r>
        <w:rPr>
          <w:rFonts w:ascii="Century" w:eastAsia="Times New Roman" w:hAnsi="Century" w:cs="Courier New"/>
          <w:i/>
          <w:color w:val="000000"/>
          <w:sz w:val="24"/>
          <w:szCs w:val="24"/>
          <w:lang w:eastAsia="el-GR"/>
        </w:rPr>
        <w:t>κ</w:t>
      </w:r>
      <w:r w:rsidRPr="004A75A6">
        <w:rPr>
          <w:rFonts w:ascii="Century" w:eastAsia="Times New Roman" w:hAnsi="Century" w:cs="Courier New"/>
          <w:i/>
          <w:color w:val="000000"/>
          <w:sz w:val="24"/>
          <w:szCs w:val="24"/>
          <w:lang w:eastAsia="el-GR"/>
        </w:rPr>
        <w:t>άθειρξη τουλάχιστον δέκα ετών μπορεί το δικαστήριο να επιβάλλει περιορισμό μέχρι δεκαπέντε έτη</w:t>
      </w:r>
      <w:r>
        <w:rPr>
          <w:rFonts w:ascii="Century" w:eastAsia="Times New Roman" w:hAnsi="Century" w:cs="Courier New"/>
          <w:i/>
          <w:color w:val="000000"/>
          <w:sz w:val="24"/>
          <w:szCs w:val="24"/>
          <w:lang w:eastAsia="el-GR"/>
        </w:rPr>
        <w:t xml:space="preserve">» </w:t>
      </w:r>
      <w:r>
        <w:rPr>
          <w:rFonts w:ascii="Century" w:eastAsia="Times New Roman" w:hAnsi="Century" w:cs="Courier New"/>
          <w:color w:val="000000"/>
          <w:sz w:val="24"/>
          <w:szCs w:val="24"/>
          <w:lang w:eastAsia="el-GR"/>
        </w:rPr>
        <w:t xml:space="preserve">όσο και αναφορικά με τις </w:t>
      </w:r>
      <w:r>
        <w:rPr>
          <w:rFonts w:ascii="Century" w:hAnsi="Century"/>
          <w:sz w:val="24"/>
          <w:szCs w:val="24"/>
        </w:rPr>
        <w:t xml:space="preserve">προϋποθέσεις επιβολής του, αφού τροποποιήθηκε και το άρθρο 127, το οποίο προέβλεπε πλέον ότι: </w:t>
      </w:r>
      <w:r w:rsidRPr="00E3419D">
        <w:rPr>
          <w:rFonts w:ascii="Century" w:hAnsi="Century"/>
          <w:i/>
          <w:sz w:val="24"/>
          <w:szCs w:val="24"/>
        </w:rPr>
        <w:t xml:space="preserve">«Περιορισμός σε ειδικό κατάστημα </w:t>
      </w:r>
      <w:r>
        <w:rPr>
          <w:rFonts w:ascii="Century" w:hAnsi="Century"/>
          <w:i/>
          <w:sz w:val="24"/>
          <w:szCs w:val="24"/>
        </w:rPr>
        <w:t>κ</w:t>
      </w:r>
      <w:r w:rsidRPr="00E3419D">
        <w:rPr>
          <w:rFonts w:ascii="Century" w:hAnsi="Century"/>
          <w:i/>
          <w:sz w:val="24"/>
          <w:szCs w:val="24"/>
        </w:rPr>
        <w:t xml:space="preserve">ράτησης νέων επιβάλλεται μόνο σε </w:t>
      </w:r>
      <w:r w:rsidRPr="00E3419D">
        <w:rPr>
          <w:rFonts w:ascii="Century" w:hAnsi="Century"/>
          <w:i/>
          <w:sz w:val="24"/>
          <w:szCs w:val="24"/>
        </w:rPr>
        <w:lastRenderedPageBreak/>
        <w:t>ανηλίκους που έχουν συμπληρώσει το δέκατο πέμπτο έτος της ηλικίας, εφόσον η πράξη τους, αν την τελούσε ενήλικος, θα ήταν κακούργημα και εμπεριέχει στοιχεία βίας, στρέφεται κατά της ζωής ή της σωματικής ακεραιότητας ή τελείται κατ` επάγγελμα ή κατ` εξακολούθηση</w:t>
      </w:r>
      <w:r>
        <w:rPr>
          <w:rFonts w:ascii="Century" w:hAnsi="Century"/>
          <w:i/>
          <w:sz w:val="24"/>
          <w:szCs w:val="24"/>
        </w:rPr>
        <w:t>»</w:t>
      </w:r>
      <w:r w:rsidRPr="00926EF0">
        <w:rPr>
          <w:rFonts w:ascii="Century" w:hAnsi="Century"/>
          <w:sz w:val="24"/>
          <w:szCs w:val="24"/>
        </w:rPr>
        <w:t>.</w:t>
      </w:r>
      <w:r>
        <w:rPr>
          <w:rFonts w:ascii="Century" w:hAnsi="Century"/>
          <w:sz w:val="24"/>
          <w:szCs w:val="24"/>
        </w:rPr>
        <w:t xml:space="preserve"> Τέλος, με τον Ν. 4322/2015 επήλθαν νέες τροποποιήσεις στο θεσμό του ποινικού σωφρονισμού, τόσο και πάλι με τα χρονικά όρια αυτού, αφού με τη νέα τροποποίηση του άρθρου 54 του Ποινικού Κώδικα απαλείφθηκε η πρόβλεψη για την επιβολή περιορισμού σε ειδικό κατάστημα κράτησης νέων</w:t>
      </w:r>
      <w:r w:rsidRPr="00131DB4">
        <w:rPr>
          <w:rFonts w:ascii="Century" w:hAnsi="Century"/>
          <w:sz w:val="24"/>
          <w:szCs w:val="24"/>
        </w:rPr>
        <w:t xml:space="preserve"> μέχρι δεκαπέντε έτη</w:t>
      </w:r>
      <w:r>
        <w:rPr>
          <w:rFonts w:ascii="Century" w:hAnsi="Century"/>
          <w:sz w:val="24"/>
          <w:szCs w:val="24"/>
        </w:rPr>
        <w:t xml:space="preserve"> σε </w:t>
      </w:r>
      <w:r w:rsidRPr="00131DB4">
        <w:rPr>
          <w:rFonts w:ascii="Century" w:hAnsi="Century"/>
          <w:sz w:val="24"/>
          <w:szCs w:val="24"/>
        </w:rPr>
        <w:t>εξαιρετικές περιπτώσεις ιδιαίτερα σοβαρών εγκλημάτων που απειλούνται με ισόβια κάθειρξη ή κάθειρξη τουλάχιστον δέκα ετών</w:t>
      </w:r>
      <w:r>
        <w:rPr>
          <w:rFonts w:ascii="Century" w:hAnsi="Century"/>
          <w:sz w:val="24"/>
          <w:szCs w:val="24"/>
        </w:rPr>
        <w:t xml:space="preserve">, ενώ και στο άρθρο 127 προστέθηκαν νέες πιο αυστηρές προϋποθέσεις, αφού πλέον προβλέπεται ότι: </w:t>
      </w:r>
      <w:r w:rsidRPr="00131DB4">
        <w:rPr>
          <w:rFonts w:ascii="Century" w:hAnsi="Century"/>
          <w:i/>
          <w:sz w:val="24"/>
          <w:szCs w:val="24"/>
        </w:rPr>
        <w:t>«Περιορισμός σε ειδικό κατάστημα κράτησης νέων επιβάλλεται μόνο σε ανηλίκους που έχουν συμπληρώσει το δέκατο πέμπτο (15ο) έτος της ηλικίας, εφόσον η πράξη τους, αν την τελούσε ενήλικος, θα ήταν κακούργημα απειλούμενο με την ποινή της ισόβιας κάθειρξης, με την επιφύλαξη της παραγράφου 3α του άρθρου 124. Περιορισμός σε ειδικό κατάστημα κράτησης νέων δύναται να επιβληθεί και για τις πράξεις του άρθρου 336 εφόσον τελούνται σε βάρος προσώπου νεότερου από δεκαπέντε (15) ετών</w:t>
      </w:r>
      <w:r>
        <w:rPr>
          <w:rFonts w:ascii="Century" w:hAnsi="Century"/>
          <w:i/>
          <w:sz w:val="24"/>
          <w:szCs w:val="24"/>
        </w:rPr>
        <w:t>»</w:t>
      </w:r>
      <w:r w:rsidRPr="00926EF0">
        <w:rPr>
          <w:rFonts w:ascii="Century" w:hAnsi="Century"/>
          <w:sz w:val="24"/>
          <w:szCs w:val="24"/>
        </w:rPr>
        <w:t>.</w:t>
      </w:r>
      <w:r>
        <w:rPr>
          <w:rFonts w:ascii="Century" w:hAnsi="Century"/>
          <w:sz w:val="24"/>
          <w:szCs w:val="24"/>
        </w:rPr>
        <w:t xml:space="preserve"> </w:t>
      </w:r>
      <w:r w:rsidR="00340652">
        <w:rPr>
          <w:rFonts w:ascii="Century" w:hAnsi="Century"/>
          <w:sz w:val="24"/>
          <w:szCs w:val="24"/>
        </w:rPr>
        <w:t xml:space="preserve">Τέλος, με το άρθρο </w:t>
      </w:r>
      <w:r w:rsidR="00340652" w:rsidRPr="00340652">
        <w:rPr>
          <w:rFonts w:ascii="Century" w:hAnsi="Century"/>
          <w:sz w:val="24"/>
          <w:szCs w:val="24"/>
        </w:rPr>
        <w:t xml:space="preserve">26 Ν.4356/2015 </w:t>
      </w:r>
      <w:r w:rsidR="00340652">
        <w:rPr>
          <w:rFonts w:ascii="Century" w:hAnsi="Century"/>
          <w:sz w:val="24"/>
          <w:szCs w:val="24"/>
        </w:rPr>
        <w:t>το άρθρο 127 τροποποιήθηκε εκ νέου και έχει πλέον ως εξής: «</w:t>
      </w:r>
      <w:r w:rsidR="00340652" w:rsidRPr="00340652">
        <w:rPr>
          <w:rFonts w:ascii="Century" w:hAnsi="Century"/>
          <w:i/>
          <w:sz w:val="24"/>
          <w:szCs w:val="24"/>
        </w:rPr>
        <w:t>Περιορισμός σε ειδικό κατάστημα κράτησης νέων επιβάλλεται μόνο σε ανηλίκους που έχουν συμπληρώσει το δέκατο πέμπτο (15ο) έτος της ηλικίας, εφόσον η πράξη τους, αν την τελούσε ενήλικος, θα ήταν κακούργημα απειλούμενο με την ποινή της ισόβιας κάθειρξης. Η ίδια ποινή δύναται να επιβληθεί και για τις πράξεις του άρθρου 336, εφόσον τελούνται σε βάρος προσώπου νεότερου από δεκαπέντε (15) ετών. Περιορισμός σε ειδικό κατάστημα κράτησης νέων μπορεί να επιβληθεί και σε ανήλικο που έχει συμπληρώσει το δέκατο πέμπτο (15ο) έτος της ηλικίας του και του έχει επιβληθεί το αναμορφωτικό μέτρο της περίπτωσης ιβ` της παραγράφου 1 του άρθρου 122, εάν μετά την εισαγωγή του στο ίδρυμα αγωγής τελέσει έγκλημα που αν το τελούσε ενήλικος θα ήταν κακούργημα. Η απόφαση πρέπει να περιέχει ειδική και εμπεριστατωμένη αιτιολογία από την οποία να προκύπτει γιατί τα αναμορφωτικά ή θεραπευτικά μέτρα δεν κρίνονται στη συγκεκριμένη περίπτωση επαρκή, λαμβανομένων κατά περίπτωση υπόψη των ιδιαίτερων συνθηκών τέλεσης της πράξης και της προσωπικότητας του ανηλίκου. 2. Στην απόφαση του δικαστηρίου ορίζεται επακριβώς ο χρόνος παραμονής του ανηλίκου στο ειδικό κατάστημα κράτησης νέων σύμφωνα με το άρθρο 54.</w:t>
      </w:r>
      <w:r w:rsidR="00340652" w:rsidRPr="00340652">
        <w:rPr>
          <w:rFonts w:ascii="Century" w:hAnsi="Century"/>
          <w:sz w:val="24"/>
          <w:szCs w:val="24"/>
        </w:rPr>
        <w:t xml:space="preserve">» </w:t>
      </w:r>
      <w:r>
        <w:rPr>
          <w:rFonts w:ascii="Century" w:hAnsi="Century"/>
          <w:sz w:val="24"/>
          <w:szCs w:val="24"/>
        </w:rPr>
        <w:t>Στην πράξη ο περιορισμός σε ειδικό κατάστημα κράτησης νέων επιβλήθηκε από το Μονομελές Δικαστήριο Ανηλίκων 1 φορά κατά τα δικαστικά έτη 2013-2014, 2012-2013 και καμία κατά τα δικαστικά έτη 2010-2011, 2011-2012 και 2014-2015, ενώ από το Τριμελές Δικαστήριο Ανηλίκων επιβλήθηκε δύο φορές κατά το δικαστικό έτος 2010-2011, πέντε φορές κατά το δικαστικό έτος 2011-2012, καμία φορά  κατά το δικαστικό έτος 2012-2013, 4 φορές κατά το δικαστικό έτος 2013-2014 και 1 φορά κατά το δικαστικό έτος 2014-2015.</w:t>
      </w:r>
    </w:p>
    <w:p w:rsidR="00DC5551" w:rsidRDefault="00DC5551" w:rsidP="00DC5551">
      <w:pPr>
        <w:spacing w:after="0" w:line="240" w:lineRule="auto"/>
        <w:jc w:val="both"/>
        <w:rPr>
          <w:rFonts w:ascii="Century" w:hAnsi="Century"/>
          <w:sz w:val="24"/>
          <w:szCs w:val="24"/>
        </w:rPr>
      </w:pPr>
    </w:p>
    <w:p w:rsidR="00DC5551" w:rsidRPr="00A30190" w:rsidRDefault="00DC5551" w:rsidP="00DC5551">
      <w:pPr>
        <w:pStyle w:val="a3"/>
        <w:numPr>
          <w:ilvl w:val="0"/>
          <w:numId w:val="2"/>
        </w:numPr>
        <w:spacing w:after="0" w:line="240" w:lineRule="auto"/>
        <w:jc w:val="both"/>
        <w:rPr>
          <w:rFonts w:ascii="Century" w:hAnsi="Century"/>
          <w:sz w:val="24"/>
          <w:szCs w:val="24"/>
        </w:rPr>
      </w:pPr>
      <w:r>
        <w:rPr>
          <w:rFonts w:ascii="Century" w:hAnsi="Century"/>
          <w:b/>
          <w:sz w:val="24"/>
          <w:szCs w:val="24"/>
        </w:rPr>
        <w:t>ΜΕΤΑΒΟΛΗ ΚΑΙ ΑΡΣΗ ΤΩΝ ΑΝΑΜΟΡΦΩΤΙΚΩΝ ΚΑΙ ΘΕΡΑΠΕΥΤΙΚΩΝ ΜΕΤΡΩΝ</w:t>
      </w:r>
    </w:p>
    <w:p w:rsidR="00DC5551" w:rsidRPr="00A30190" w:rsidRDefault="00DC5551" w:rsidP="00DC5551">
      <w:pPr>
        <w:pStyle w:val="a3"/>
        <w:spacing w:after="0" w:line="240" w:lineRule="auto"/>
        <w:jc w:val="both"/>
        <w:rPr>
          <w:rFonts w:ascii="Century" w:hAnsi="Century"/>
          <w:sz w:val="24"/>
          <w:szCs w:val="24"/>
        </w:rPr>
      </w:pPr>
    </w:p>
    <w:p w:rsidR="00DC5551" w:rsidRDefault="00DC5551" w:rsidP="00DC5551">
      <w:pPr>
        <w:jc w:val="both"/>
        <w:rPr>
          <w:rFonts w:ascii="Century" w:hAnsi="Century"/>
          <w:sz w:val="24"/>
          <w:szCs w:val="24"/>
        </w:rPr>
      </w:pPr>
      <w:r>
        <w:rPr>
          <w:rFonts w:ascii="Century" w:hAnsi="Century"/>
          <w:sz w:val="24"/>
          <w:szCs w:val="24"/>
        </w:rPr>
        <w:t xml:space="preserve">Σύμφωνα με τη διάταξη του άρθρου 124, όπως ισχύει μετά τις διαδοχικές τροποποιήσεις του με τους Ν. 3189/2003 και 4322/2015 προβλέπει πλέον ότι: </w:t>
      </w:r>
      <w:r w:rsidRPr="00490606">
        <w:rPr>
          <w:rFonts w:ascii="Century" w:hAnsi="Century"/>
          <w:i/>
          <w:sz w:val="24"/>
          <w:szCs w:val="24"/>
        </w:rPr>
        <w:t>«Το δικαστήριο που δίκασε μπορεί οποτεδήποτε να αντικαταστήσει τα αναμορφωτικά μέτρα που επέβαλε με άλλα, αν το κρίνει αναγκαίο. Αν τα μέτρα εκπλήρωσαν το σκοπό τους, τα αίρει. 2. Το ίδιο μπορεί να πράξει και για τα θεραπευτικά μέτρα, ύστερα από γνωμοδότηση σύμφωνα με το άρθρο 123 παρ. 2. 3. Το δικαστήριο αντικαθιστά τα αναμορφωτικά μέτρα με θεραπευτικά, ύστερα από γνωμοδότηση, σύμφωνα με το άρθρο 123 παράγραφος 2. 3.α. Το δικαστήριο μπορεί να αντικαταστήσει το αναμορφωτικό μέτρο της περίπτωσης ιβ` της παραγράφου 1 του άρθρου 122 που έχει επιβληθεί σε ποινικά υπεύθυνο ανήλικο για πράξη, την οποία αν τελούσε ενήλικος θα ήταν κακούργημα και εμπεριέχει στοιχεία βίας, με περιορισμό σε ειδικό κατάστημα κράτησης νέων, εφόσον: α) ο ανήλικος διαφεύγει επανειλημμένως από το ίδρυμα αγωγής και ο ποινικός σωφρονισμός κρίνεται απολύτως αναγκαίος ή β) τελέσει εκ νέου πράξη, που εάν την τελούσε ενήλικος θα ήταν κακούργημα που εμπεριέχει στοιχεία βίας. 4. Η συνδρομή των προϋποθέσεων αντικατάστασης ή άρσης των αναμορφωτικών ή θεραπευτικών μέτρων ελέγχεται από το δικαστήριο το αργότερο μετά την πάροδο ενός έτους από την επιβολή τους»</w:t>
      </w:r>
      <w:r>
        <w:rPr>
          <w:rFonts w:ascii="Century" w:hAnsi="Century"/>
          <w:i/>
          <w:sz w:val="24"/>
          <w:szCs w:val="24"/>
        </w:rPr>
        <w:t xml:space="preserve">. </w:t>
      </w:r>
      <w:r>
        <w:rPr>
          <w:rFonts w:ascii="Century" w:hAnsi="Century"/>
          <w:sz w:val="24"/>
          <w:szCs w:val="24"/>
        </w:rPr>
        <w:t>Στην πράξη σπανιότατα εισάγονται στο δικαστήριο Ανηλίκων αιτήσεις για άρση ή αντικατάσταση αναμορφωτικών μέτρων, γιατί, όπως είπαμε θεραπευτικά μέτρα ουδέποτε επιβάλλονται. Χαρακτηριστικά αναφέρουμε ότι κατά την τελευταία πενταετία εισήχθη μόνο μία τέτοια αίτηση κατά το παρελθόν δικαστικό έτος 2014-2015 ενώπιον του Τριμελούς Δικαστηρίου Ανηλίκων και αφορούσε μία περίπτωση ανηλίκου, στον οποίο είχε επιβληθεί το αναμορφωτικό μέτρο της τοποθέτησης στο ίδρυμα αγωγής αρρένων Βόλου, που είναι το μόνο που υπάρχει στην Ελλάδα, και που ο Διευθυντής του ιδρύματος εισηγούταν την άρση του ανωτέρω μέτρου, γιατί μετά από δύο δοκιμαστικές άδειες που χορήγησε στον ανήλικο και την άριστη ανταπόκριση αυτού, έκρινε ότι το μέτρο είχε εκπληρώσει το σκοπό του. Στις λοιπές περιπτώσεις, όταν για παράδειγμα έχει επιβληθεί το αναμορφωτικό μέτρο της</w:t>
      </w:r>
      <w:r w:rsidRPr="00614C69">
        <w:rPr>
          <w:rFonts w:ascii="Century" w:hAnsi="Century"/>
          <w:sz w:val="24"/>
          <w:szCs w:val="24"/>
        </w:rPr>
        <w:t xml:space="preserve"> </w:t>
      </w:r>
      <w:r w:rsidRPr="00550AF3">
        <w:rPr>
          <w:rFonts w:ascii="Century" w:hAnsi="Century"/>
          <w:sz w:val="24"/>
          <w:szCs w:val="24"/>
        </w:rPr>
        <w:t>ανάθεση</w:t>
      </w:r>
      <w:r>
        <w:rPr>
          <w:rFonts w:ascii="Century" w:hAnsi="Century"/>
          <w:sz w:val="24"/>
          <w:szCs w:val="24"/>
        </w:rPr>
        <w:t>ς</w:t>
      </w:r>
      <w:r w:rsidRPr="00550AF3">
        <w:rPr>
          <w:rFonts w:ascii="Century" w:hAnsi="Century"/>
          <w:sz w:val="24"/>
          <w:szCs w:val="24"/>
        </w:rPr>
        <w:t xml:space="preserve"> της επιμέλειας του ανηλίκου στην υπηρεσία επιμελητών ανηλίκων</w:t>
      </w:r>
      <w:r>
        <w:rPr>
          <w:rFonts w:ascii="Century" w:hAnsi="Century"/>
          <w:sz w:val="24"/>
          <w:szCs w:val="24"/>
        </w:rPr>
        <w:t xml:space="preserve"> και οι επιμελητές θεωρούν ότι και πριν την πάροδο του χρόνου που όρισε το δικαστήριο</w:t>
      </w:r>
      <w:r w:rsidRPr="00550AF3">
        <w:rPr>
          <w:rFonts w:ascii="Century" w:hAnsi="Century"/>
          <w:sz w:val="24"/>
          <w:szCs w:val="24"/>
        </w:rPr>
        <w:t>,</w:t>
      </w:r>
      <w:r>
        <w:rPr>
          <w:rFonts w:ascii="Century" w:hAnsi="Century"/>
          <w:sz w:val="24"/>
          <w:szCs w:val="24"/>
        </w:rPr>
        <w:t xml:space="preserve"> εκπληρώθηκε ο σκοπός του μέτρου, προγραμματίζουν τις συναντήσεις με τον ανήλικο σε πιο αραιά διαστήματα μέχρι τη λήξη του ορισμένου χρόνου ή σε περιπτώσεις ανηλίκων που βλέπουμε συχνά στα δικαστήρια, μπορούμε να αντικαταστήσουμε το επιβληθέν μέτρο με άλλο στα </w:t>
      </w:r>
      <w:bookmarkStart w:id="0" w:name="_GoBack"/>
      <w:bookmarkEnd w:id="0"/>
      <w:r>
        <w:rPr>
          <w:rFonts w:ascii="Century" w:hAnsi="Century"/>
          <w:sz w:val="24"/>
          <w:szCs w:val="24"/>
        </w:rPr>
        <w:t>πλαίσια της επόμενης κατά σειρά υπόθεσης που άγεται ενώπιόν μας.</w:t>
      </w:r>
    </w:p>
    <w:p w:rsidR="00DC5551" w:rsidRPr="00A30190" w:rsidRDefault="00DC5551" w:rsidP="00DC5551">
      <w:pPr>
        <w:jc w:val="both"/>
        <w:rPr>
          <w:rFonts w:ascii="Century" w:hAnsi="Century"/>
          <w:sz w:val="24"/>
          <w:szCs w:val="24"/>
        </w:rPr>
      </w:pPr>
    </w:p>
    <w:p w:rsidR="00DC5551" w:rsidRDefault="00DC5551" w:rsidP="00DC5551">
      <w:pPr>
        <w:spacing w:after="0" w:line="240" w:lineRule="auto"/>
        <w:rPr>
          <w:rFonts w:ascii="Century" w:hAnsi="Century"/>
          <w:sz w:val="24"/>
          <w:szCs w:val="24"/>
        </w:rPr>
      </w:pPr>
    </w:p>
    <w:p w:rsidR="000A5E49" w:rsidRDefault="000A5E49"/>
    <w:sectPr w:rsidR="000A5E49" w:rsidSect="00AE574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3E6"/>
    <w:multiLevelType w:val="hybridMultilevel"/>
    <w:tmpl w:val="F956DDCA"/>
    <w:lvl w:ilvl="0" w:tplc="04080001">
      <w:start w:val="1"/>
      <w:numFmt w:val="bullet"/>
      <w:lvlText w:val=""/>
      <w:lvlJc w:val="left"/>
      <w:pPr>
        <w:ind w:left="1316" w:hanging="360"/>
      </w:pPr>
      <w:rPr>
        <w:rFonts w:ascii="Symbol" w:hAnsi="Symbol" w:hint="default"/>
      </w:rPr>
    </w:lvl>
    <w:lvl w:ilvl="1" w:tplc="04080003" w:tentative="1">
      <w:start w:val="1"/>
      <w:numFmt w:val="bullet"/>
      <w:lvlText w:val="o"/>
      <w:lvlJc w:val="left"/>
      <w:pPr>
        <w:ind w:left="2036" w:hanging="360"/>
      </w:pPr>
      <w:rPr>
        <w:rFonts w:ascii="Courier New" w:hAnsi="Courier New" w:cs="Courier New" w:hint="default"/>
      </w:rPr>
    </w:lvl>
    <w:lvl w:ilvl="2" w:tplc="04080005" w:tentative="1">
      <w:start w:val="1"/>
      <w:numFmt w:val="bullet"/>
      <w:lvlText w:val=""/>
      <w:lvlJc w:val="left"/>
      <w:pPr>
        <w:ind w:left="2756" w:hanging="360"/>
      </w:pPr>
      <w:rPr>
        <w:rFonts w:ascii="Wingdings" w:hAnsi="Wingdings" w:hint="default"/>
      </w:rPr>
    </w:lvl>
    <w:lvl w:ilvl="3" w:tplc="04080001" w:tentative="1">
      <w:start w:val="1"/>
      <w:numFmt w:val="bullet"/>
      <w:lvlText w:val=""/>
      <w:lvlJc w:val="left"/>
      <w:pPr>
        <w:ind w:left="3476" w:hanging="360"/>
      </w:pPr>
      <w:rPr>
        <w:rFonts w:ascii="Symbol" w:hAnsi="Symbol" w:hint="default"/>
      </w:rPr>
    </w:lvl>
    <w:lvl w:ilvl="4" w:tplc="04080003" w:tentative="1">
      <w:start w:val="1"/>
      <w:numFmt w:val="bullet"/>
      <w:lvlText w:val="o"/>
      <w:lvlJc w:val="left"/>
      <w:pPr>
        <w:ind w:left="4196" w:hanging="360"/>
      </w:pPr>
      <w:rPr>
        <w:rFonts w:ascii="Courier New" w:hAnsi="Courier New" w:cs="Courier New" w:hint="default"/>
      </w:rPr>
    </w:lvl>
    <w:lvl w:ilvl="5" w:tplc="04080005" w:tentative="1">
      <w:start w:val="1"/>
      <w:numFmt w:val="bullet"/>
      <w:lvlText w:val=""/>
      <w:lvlJc w:val="left"/>
      <w:pPr>
        <w:ind w:left="4916" w:hanging="360"/>
      </w:pPr>
      <w:rPr>
        <w:rFonts w:ascii="Wingdings" w:hAnsi="Wingdings" w:hint="default"/>
      </w:rPr>
    </w:lvl>
    <w:lvl w:ilvl="6" w:tplc="04080001" w:tentative="1">
      <w:start w:val="1"/>
      <w:numFmt w:val="bullet"/>
      <w:lvlText w:val=""/>
      <w:lvlJc w:val="left"/>
      <w:pPr>
        <w:ind w:left="5636" w:hanging="360"/>
      </w:pPr>
      <w:rPr>
        <w:rFonts w:ascii="Symbol" w:hAnsi="Symbol" w:hint="default"/>
      </w:rPr>
    </w:lvl>
    <w:lvl w:ilvl="7" w:tplc="04080003" w:tentative="1">
      <w:start w:val="1"/>
      <w:numFmt w:val="bullet"/>
      <w:lvlText w:val="o"/>
      <w:lvlJc w:val="left"/>
      <w:pPr>
        <w:ind w:left="6356" w:hanging="360"/>
      </w:pPr>
      <w:rPr>
        <w:rFonts w:ascii="Courier New" w:hAnsi="Courier New" w:cs="Courier New" w:hint="default"/>
      </w:rPr>
    </w:lvl>
    <w:lvl w:ilvl="8" w:tplc="04080005" w:tentative="1">
      <w:start w:val="1"/>
      <w:numFmt w:val="bullet"/>
      <w:lvlText w:val=""/>
      <w:lvlJc w:val="left"/>
      <w:pPr>
        <w:ind w:left="7076" w:hanging="360"/>
      </w:pPr>
      <w:rPr>
        <w:rFonts w:ascii="Wingdings" w:hAnsi="Wingdings" w:hint="default"/>
      </w:rPr>
    </w:lvl>
  </w:abstractNum>
  <w:abstractNum w:abstractNumId="1">
    <w:nsid w:val="05C20C3C"/>
    <w:multiLevelType w:val="hybridMultilevel"/>
    <w:tmpl w:val="0B10C88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0A1694"/>
    <w:multiLevelType w:val="hybridMultilevel"/>
    <w:tmpl w:val="6422FD7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2141594"/>
    <w:multiLevelType w:val="hybridMultilevel"/>
    <w:tmpl w:val="234C919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952453E"/>
    <w:multiLevelType w:val="hybridMultilevel"/>
    <w:tmpl w:val="4D169B5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B4E69FE"/>
    <w:multiLevelType w:val="hybridMultilevel"/>
    <w:tmpl w:val="FD02D78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characterSpacingControl w:val="doNotCompress"/>
  <w:compat/>
  <w:rsids>
    <w:rsidRoot w:val="000A5E49"/>
    <w:rsid w:val="000A5E49"/>
    <w:rsid w:val="00340652"/>
    <w:rsid w:val="007E446B"/>
    <w:rsid w:val="00AE5747"/>
    <w:rsid w:val="00DC55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5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551"/>
    <w:pPr>
      <w:ind w:left="720"/>
      <w:contextualSpacing/>
    </w:pPr>
  </w:style>
  <w:style w:type="character" w:styleId="a4">
    <w:name w:val="Intense Reference"/>
    <w:basedOn w:val="a0"/>
    <w:uiPriority w:val="32"/>
    <w:qFormat/>
    <w:rsid w:val="00DC5551"/>
    <w:rPr>
      <w:b/>
      <w:bCs/>
      <w:smallCaps/>
      <w:color w:val="4472C4" w:themeColor="accent1"/>
      <w:spacing w:val="5"/>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4716</Words>
  <Characters>25470</Characters>
  <Application>Microsoft Office Word</Application>
  <DocSecurity>4</DocSecurity>
  <Lines>212</Lines>
  <Paragraphs>60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Δήμητρα Τσιαρδακλή</dc:creator>
  <cp:lastModifiedBy>Γιώργος Ψαρουδάκης</cp:lastModifiedBy>
  <cp:revision>2</cp:revision>
  <dcterms:created xsi:type="dcterms:W3CDTF">2018-02-22T11:40:00Z</dcterms:created>
  <dcterms:modified xsi:type="dcterms:W3CDTF">2018-02-22T11:40:00Z</dcterms:modified>
</cp:coreProperties>
</file>