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5000" w:type="pct"/>
        <w:tblLook w:val="04A0" w:firstRow="1" w:lastRow="0" w:firstColumn="1" w:lastColumn="0" w:noHBand="0" w:noVBand="1"/>
      </w:tblPr>
      <w:tblGrid>
        <w:gridCol w:w="9016"/>
      </w:tblGrid>
      <w:tr w:rsidR="00690717" w:rsidRPr="0049012C" w:rsidTr="0049012C">
        <w:tc>
          <w:tcPr>
            <w:tcW w:w="5000" w:type="pct"/>
            <w:noWrap/>
            <w:hideMark/>
          </w:tcPr>
          <w:p w:rsidR="00690717" w:rsidRPr="0049012C" w:rsidRDefault="00690717" w:rsidP="0049012C">
            <w:pPr>
              <w:spacing w:after="0"/>
              <w:jc w:val="both"/>
              <w:rPr>
                <w:rFonts w:eastAsia="Times New Roman" w:cs="Calibri"/>
                <w:sz w:val="24"/>
                <w:szCs w:val="24"/>
                <w:lang w:eastAsia="en-GB"/>
              </w:rPr>
            </w:pPr>
            <w:r w:rsidRPr="0049012C">
              <w:rPr>
                <w:rFonts w:eastAsia="Times New Roman" w:cs="Calibri"/>
                <w:sz w:val="24"/>
                <w:szCs w:val="24"/>
                <w:lang w:eastAsia="en-GB"/>
              </w:rPr>
              <w:t>ΝΟΜΟΣ - </w:t>
            </w:r>
            <w:r w:rsidRPr="0049012C">
              <w:rPr>
                <w:rFonts w:eastAsia="Times New Roman" w:cs="Calibri"/>
                <w:b/>
                <w:bCs/>
                <w:sz w:val="24"/>
                <w:szCs w:val="24"/>
                <w:lang w:eastAsia="en-GB"/>
              </w:rPr>
              <w:t>4251</w:t>
            </w:r>
            <w:r w:rsidRPr="0049012C">
              <w:rPr>
                <w:rFonts w:eastAsia="Times New Roman" w:cs="Calibri"/>
                <w:sz w:val="24"/>
                <w:szCs w:val="24"/>
                <w:lang w:eastAsia="en-GB"/>
              </w:rPr>
              <w:t> - 2014</w:t>
            </w:r>
          </w:p>
        </w:tc>
      </w:tr>
    </w:tbl>
    <w:p w:rsidR="00690717" w:rsidRPr="0049012C" w:rsidRDefault="00690717" w:rsidP="0049012C">
      <w:pPr>
        <w:spacing w:after="0"/>
        <w:jc w:val="both"/>
        <w:rPr>
          <w:rFonts w:eastAsia="Times New Roman" w:cs="Calibri"/>
          <w:vanish/>
          <w:sz w:val="24"/>
          <w:szCs w:val="24"/>
          <w:lang w:eastAsia="en-GB"/>
        </w:rPr>
      </w:pPr>
    </w:p>
    <w:tbl>
      <w:tblPr>
        <w:tblStyle w:val="a4"/>
        <w:tblW w:w="0" w:type="auto"/>
        <w:tblLook w:val="04A0" w:firstRow="1" w:lastRow="0" w:firstColumn="1" w:lastColumn="0" w:noHBand="0" w:noVBand="1"/>
      </w:tblPr>
      <w:tblGrid>
        <w:gridCol w:w="3098"/>
        <w:gridCol w:w="3168"/>
      </w:tblGrid>
      <w:tr w:rsidR="00690717" w:rsidRPr="0049012C" w:rsidTr="0049012C">
        <w:tc>
          <w:tcPr>
            <w:tcW w:w="0" w:type="auto"/>
            <w:hideMark/>
          </w:tcPr>
          <w:p w:rsidR="00690717" w:rsidRPr="0049012C" w:rsidRDefault="0049012C" w:rsidP="0049012C">
            <w:pPr>
              <w:spacing w:after="0"/>
              <w:jc w:val="both"/>
              <w:rPr>
                <w:rFonts w:eastAsia="Times New Roman" w:cs="Calibri"/>
                <w:color w:val="000000"/>
                <w:sz w:val="24"/>
                <w:szCs w:val="24"/>
                <w:lang w:eastAsia="en-GB"/>
              </w:rPr>
            </w:pPr>
            <w:proofErr w:type="spellStart"/>
            <w:r>
              <w:rPr>
                <w:rFonts w:eastAsia="Times New Roman" w:cs="Calibri"/>
                <w:b/>
                <w:bCs/>
                <w:color w:val="000000"/>
                <w:sz w:val="24"/>
                <w:szCs w:val="24"/>
                <w:lang w:eastAsia="en-GB"/>
              </w:rPr>
              <w:t>Άρθρο</w:t>
            </w:r>
            <w:proofErr w:type="spellEnd"/>
            <w:r w:rsidR="00690717" w:rsidRPr="0049012C">
              <w:rPr>
                <w:rFonts w:eastAsia="Times New Roman" w:cs="Calibri"/>
                <w:b/>
                <w:bCs/>
                <w:color w:val="000000"/>
                <w:sz w:val="24"/>
                <w:szCs w:val="24"/>
                <w:lang w:eastAsia="en-GB"/>
              </w:rPr>
              <w:t>:</w:t>
            </w:r>
          </w:p>
        </w:tc>
        <w:tc>
          <w:tcPr>
            <w:tcW w:w="0" w:type="auto"/>
            <w:hideMark/>
          </w:tcPr>
          <w:p w:rsidR="00690717" w:rsidRPr="0049012C" w:rsidRDefault="00690717" w:rsidP="0049012C">
            <w:pPr>
              <w:spacing w:after="0"/>
              <w:jc w:val="both"/>
              <w:rPr>
                <w:rFonts w:eastAsia="Times New Roman" w:cs="Calibri"/>
                <w:color w:val="000000"/>
                <w:sz w:val="24"/>
                <w:szCs w:val="24"/>
                <w:lang w:eastAsia="en-GB"/>
              </w:rPr>
            </w:pPr>
            <w:r w:rsidRPr="0049012C">
              <w:rPr>
                <w:rFonts w:eastAsia="Times New Roman" w:cs="Calibri"/>
                <w:color w:val="000000"/>
                <w:sz w:val="24"/>
                <w:szCs w:val="24"/>
                <w:lang w:eastAsia="en-GB"/>
              </w:rPr>
              <w:t>2</w:t>
            </w:r>
          </w:p>
        </w:tc>
      </w:tr>
      <w:tr w:rsidR="00690717" w:rsidRPr="0049012C" w:rsidTr="0049012C">
        <w:tc>
          <w:tcPr>
            <w:tcW w:w="0" w:type="auto"/>
            <w:hideMark/>
          </w:tcPr>
          <w:p w:rsidR="00690717" w:rsidRPr="0049012C" w:rsidRDefault="00690717" w:rsidP="0049012C">
            <w:pPr>
              <w:spacing w:after="0"/>
              <w:jc w:val="both"/>
              <w:rPr>
                <w:rFonts w:eastAsia="Times New Roman" w:cs="Calibri"/>
                <w:color w:val="000000"/>
                <w:sz w:val="24"/>
                <w:szCs w:val="24"/>
                <w:lang w:eastAsia="en-GB"/>
              </w:rPr>
            </w:pPr>
            <w:proofErr w:type="spellStart"/>
            <w:r w:rsidRPr="0049012C">
              <w:rPr>
                <w:rFonts w:eastAsia="Times New Roman" w:cs="Calibri"/>
                <w:b/>
                <w:bCs/>
                <w:color w:val="000000"/>
                <w:sz w:val="24"/>
                <w:szCs w:val="24"/>
                <w:lang w:eastAsia="en-GB"/>
              </w:rPr>
              <w:t>Ημ</w:t>
            </w:r>
            <w:proofErr w:type="spellEnd"/>
            <w:r w:rsidRPr="0049012C">
              <w:rPr>
                <w:rFonts w:eastAsia="Times New Roman" w:cs="Calibri"/>
                <w:b/>
                <w:bCs/>
                <w:color w:val="000000"/>
                <w:sz w:val="24"/>
                <w:szCs w:val="24"/>
                <w:lang w:eastAsia="en-GB"/>
              </w:rPr>
              <w:t>/</w:t>
            </w:r>
            <w:proofErr w:type="spellStart"/>
            <w:r w:rsidRPr="0049012C">
              <w:rPr>
                <w:rFonts w:eastAsia="Times New Roman" w:cs="Calibri"/>
                <w:b/>
                <w:bCs/>
                <w:color w:val="000000"/>
                <w:sz w:val="24"/>
                <w:szCs w:val="24"/>
                <w:lang w:eastAsia="en-GB"/>
              </w:rPr>
              <w:t>νί</w:t>
            </w:r>
            <w:proofErr w:type="spellEnd"/>
            <w:r w:rsidRPr="0049012C">
              <w:rPr>
                <w:rFonts w:eastAsia="Times New Roman" w:cs="Calibri"/>
                <w:b/>
                <w:bCs/>
                <w:color w:val="000000"/>
                <w:sz w:val="24"/>
                <w:szCs w:val="24"/>
                <w:lang w:eastAsia="en-GB"/>
              </w:rPr>
              <w:t>α:</w:t>
            </w:r>
          </w:p>
        </w:tc>
        <w:tc>
          <w:tcPr>
            <w:tcW w:w="0" w:type="auto"/>
            <w:hideMark/>
          </w:tcPr>
          <w:p w:rsidR="00690717" w:rsidRPr="0049012C" w:rsidRDefault="00690717" w:rsidP="0049012C">
            <w:pPr>
              <w:spacing w:after="0"/>
              <w:jc w:val="both"/>
              <w:rPr>
                <w:rFonts w:eastAsia="Times New Roman" w:cs="Calibri"/>
                <w:color w:val="000000"/>
                <w:sz w:val="24"/>
                <w:szCs w:val="24"/>
                <w:lang w:eastAsia="en-GB"/>
              </w:rPr>
            </w:pPr>
            <w:r w:rsidRPr="0049012C">
              <w:rPr>
                <w:rFonts w:eastAsia="Times New Roman" w:cs="Calibri"/>
                <w:color w:val="000000"/>
                <w:sz w:val="24"/>
                <w:szCs w:val="24"/>
                <w:lang w:eastAsia="en-GB"/>
              </w:rPr>
              <w:t>01.06.2014</w:t>
            </w:r>
          </w:p>
        </w:tc>
      </w:tr>
      <w:tr w:rsidR="00690717" w:rsidRPr="0049012C" w:rsidTr="0049012C">
        <w:tc>
          <w:tcPr>
            <w:tcW w:w="0" w:type="auto"/>
            <w:hideMark/>
          </w:tcPr>
          <w:p w:rsidR="00690717" w:rsidRPr="0049012C" w:rsidRDefault="00690717" w:rsidP="0049012C">
            <w:pPr>
              <w:spacing w:after="0"/>
              <w:jc w:val="both"/>
              <w:rPr>
                <w:rFonts w:eastAsia="Times New Roman" w:cs="Calibri"/>
                <w:color w:val="000000"/>
                <w:sz w:val="24"/>
                <w:szCs w:val="24"/>
                <w:lang w:eastAsia="en-GB"/>
              </w:rPr>
            </w:pPr>
            <w:proofErr w:type="spellStart"/>
            <w:r w:rsidRPr="0049012C">
              <w:rPr>
                <w:rFonts w:eastAsia="Times New Roman" w:cs="Calibri"/>
                <w:b/>
                <w:bCs/>
                <w:color w:val="000000"/>
                <w:sz w:val="24"/>
                <w:szCs w:val="24"/>
                <w:lang w:eastAsia="en-GB"/>
              </w:rPr>
              <w:t>Περιγρ</w:t>
            </w:r>
            <w:proofErr w:type="spellEnd"/>
            <w:r w:rsidRPr="0049012C">
              <w:rPr>
                <w:rFonts w:eastAsia="Times New Roman" w:cs="Calibri"/>
                <w:b/>
                <w:bCs/>
                <w:color w:val="000000"/>
                <w:sz w:val="24"/>
                <w:szCs w:val="24"/>
                <w:lang w:eastAsia="en-GB"/>
              </w:rPr>
              <w:t xml:space="preserve">αφή </w:t>
            </w:r>
            <w:proofErr w:type="spellStart"/>
            <w:r w:rsidRPr="0049012C">
              <w:rPr>
                <w:rFonts w:eastAsia="Times New Roman" w:cs="Calibri"/>
                <w:b/>
                <w:bCs/>
                <w:color w:val="000000"/>
                <w:sz w:val="24"/>
                <w:szCs w:val="24"/>
                <w:lang w:eastAsia="en-GB"/>
              </w:rPr>
              <w:t>όρου</w:t>
            </w:r>
            <w:proofErr w:type="spellEnd"/>
            <w:r w:rsidRPr="0049012C">
              <w:rPr>
                <w:rFonts w:eastAsia="Times New Roman" w:cs="Calibri"/>
                <w:b/>
                <w:bCs/>
                <w:color w:val="000000"/>
                <w:sz w:val="24"/>
                <w:szCs w:val="24"/>
                <w:lang w:eastAsia="en-GB"/>
              </w:rPr>
              <w:t xml:space="preserve"> </w:t>
            </w:r>
            <w:proofErr w:type="spellStart"/>
            <w:r w:rsidRPr="0049012C">
              <w:rPr>
                <w:rFonts w:eastAsia="Times New Roman" w:cs="Calibri"/>
                <w:b/>
                <w:bCs/>
                <w:color w:val="000000"/>
                <w:sz w:val="24"/>
                <w:szCs w:val="24"/>
                <w:lang w:eastAsia="en-GB"/>
              </w:rPr>
              <w:t>θησ</w:t>
            </w:r>
            <w:proofErr w:type="spellEnd"/>
            <w:r w:rsidRPr="0049012C">
              <w:rPr>
                <w:rFonts w:eastAsia="Times New Roman" w:cs="Calibri"/>
                <w:b/>
                <w:bCs/>
                <w:color w:val="000000"/>
                <w:sz w:val="24"/>
                <w:szCs w:val="24"/>
                <w:lang w:eastAsia="en-GB"/>
              </w:rPr>
              <w:t>αυρού:</w:t>
            </w:r>
          </w:p>
        </w:tc>
        <w:tc>
          <w:tcPr>
            <w:tcW w:w="0" w:type="auto"/>
            <w:hideMark/>
          </w:tcPr>
          <w:p w:rsidR="00690717" w:rsidRPr="0049012C" w:rsidRDefault="00690717" w:rsidP="0049012C">
            <w:pPr>
              <w:spacing w:after="0"/>
              <w:jc w:val="both"/>
              <w:rPr>
                <w:rFonts w:eastAsia="Times New Roman" w:cs="Calibri"/>
                <w:color w:val="000000"/>
                <w:sz w:val="24"/>
                <w:szCs w:val="24"/>
                <w:lang w:eastAsia="en-GB"/>
              </w:rPr>
            </w:pPr>
            <w:r w:rsidRPr="0049012C">
              <w:rPr>
                <w:rFonts w:eastAsia="Times New Roman" w:cs="Calibri"/>
                <w:color w:val="000000"/>
                <w:sz w:val="24"/>
                <w:szCs w:val="24"/>
                <w:lang w:eastAsia="en-GB"/>
              </w:rPr>
              <w:t>ΑΛΛΟΔΑΠΟΙ (ΔΗΜΟΣΙΑ ΤΑΞΗ)</w:t>
            </w:r>
          </w:p>
        </w:tc>
      </w:tr>
    </w:tbl>
    <w:p w:rsidR="00690717" w:rsidRPr="0049012C" w:rsidRDefault="00690717" w:rsidP="0049012C">
      <w:pPr>
        <w:spacing w:after="0"/>
        <w:jc w:val="both"/>
        <w:rPr>
          <w:rFonts w:eastAsia="Times New Roman" w:cs="Calibri"/>
          <w:vanish/>
          <w:sz w:val="24"/>
          <w:szCs w:val="24"/>
          <w:lang w:eastAsia="en-GB"/>
        </w:rPr>
      </w:pPr>
    </w:p>
    <w:tbl>
      <w:tblPr>
        <w:tblStyle w:val="a4"/>
        <w:tblW w:w="9000" w:type="dxa"/>
        <w:tblLook w:val="04A0" w:firstRow="1" w:lastRow="0" w:firstColumn="1" w:lastColumn="0" w:noHBand="0" w:noVBand="1"/>
      </w:tblPr>
      <w:tblGrid>
        <w:gridCol w:w="9000"/>
      </w:tblGrid>
      <w:tr w:rsidR="00690717" w:rsidRPr="0049012C" w:rsidTr="0049012C">
        <w:tc>
          <w:tcPr>
            <w:tcW w:w="0" w:type="auto"/>
            <w:hideMark/>
          </w:tcPr>
          <w:p w:rsidR="00690717" w:rsidRPr="0049012C" w:rsidRDefault="00690717" w:rsidP="0049012C">
            <w:pPr>
              <w:spacing w:before="100" w:beforeAutospacing="1" w:after="100" w:afterAutospacing="1"/>
              <w:rPr>
                <w:rFonts w:eastAsia="Times New Roman" w:cs="Calibri"/>
                <w:sz w:val="24"/>
                <w:szCs w:val="24"/>
                <w:lang w:eastAsia="en-GB"/>
              </w:rPr>
            </w:pPr>
            <w:proofErr w:type="spellStart"/>
            <w:r w:rsidRPr="0049012C">
              <w:rPr>
                <w:rFonts w:eastAsia="Times New Roman" w:cs="Calibri"/>
                <w:b/>
                <w:bCs/>
                <w:sz w:val="24"/>
                <w:szCs w:val="24"/>
                <w:lang w:eastAsia="en-GB"/>
              </w:rPr>
              <w:t>Τίτλος</w:t>
            </w:r>
            <w:proofErr w:type="spellEnd"/>
            <w:r w:rsidRPr="0049012C">
              <w:rPr>
                <w:rFonts w:eastAsia="Times New Roman" w:cs="Calibri"/>
                <w:b/>
                <w:bCs/>
                <w:sz w:val="24"/>
                <w:szCs w:val="24"/>
                <w:lang w:eastAsia="en-GB"/>
              </w:rPr>
              <w:t xml:space="preserve"> </w:t>
            </w:r>
            <w:bookmarkStart w:id="0" w:name="_GoBack"/>
            <w:proofErr w:type="spellStart"/>
            <w:r w:rsidR="0049012C">
              <w:rPr>
                <w:rFonts w:eastAsia="Times New Roman" w:cs="Calibri"/>
                <w:b/>
                <w:bCs/>
                <w:sz w:val="24"/>
                <w:szCs w:val="24"/>
                <w:lang w:eastAsia="en-GB"/>
              </w:rPr>
              <w:t>Άρθρο</w:t>
            </w:r>
            <w:bookmarkEnd w:id="0"/>
            <w:r w:rsidRPr="0049012C">
              <w:rPr>
                <w:rFonts w:eastAsia="Times New Roman" w:cs="Calibri"/>
                <w:b/>
                <w:bCs/>
                <w:sz w:val="24"/>
                <w:szCs w:val="24"/>
                <w:lang w:eastAsia="en-GB"/>
              </w:rPr>
              <w:t>υ</w:t>
            </w:r>
            <w:proofErr w:type="spellEnd"/>
            <w:r w:rsidRPr="0049012C">
              <w:rPr>
                <w:rFonts w:eastAsia="Times New Roman" w:cs="Calibri"/>
                <w:sz w:val="24"/>
                <w:szCs w:val="24"/>
                <w:lang w:eastAsia="en-GB"/>
              </w:rPr>
              <w:br/>
            </w:r>
            <w:proofErr w:type="spellStart"/>
            <w:r w:rsidRPr="0049012C">
              <w:rPr>
                <w:rFonts w:eastAsia="Times New Roman" w:cs="Calibri"/>
                <w:sz w:val="24"/>
                <w:szCs w:val="24"/>
                <w:lang w:eastAsia="en-GB"/>
              </w:rPr>
              <w:t>Πεδίο</w:t>
            </w:r>
            <w:proofErr w:type="spellEnd"/>
            <w:r w:rsidRPr="0049012C">
              <w:rPr>
                <w:rFonts w:eastAsia="Times New Roman" w:cs="Calibri"/>
                <w:sz w:val="24"/>
                <w:szCs w:val="24"/>
                <w:lang w:eastAsia="en-GB"/>
              </w:rPr>
              <w:t xml:space="preserve"> </w:t>
            </w:r>
            <w:proofErr w:type="spellStart"/>
            <w:r w:rsidRPr="0049012C">
              <w:rPr>
                <w:rFonts w:eastAsia="Times New Roman" w:cs="Calibri"/>
                <w:sz w:val="24"/>
                <w:szCs w:val="24"/>
                <w:lang w:eastAsia="en-GB"/>
              </w:rPr>
              <w:t>εφ</w:t>
            </w:r>
            <w:proofErr w:type="spellEnd"/>
            <w:r w:rsidRPr="0049012C">
              <w:rPr>
                <w:rFonts w:eastAsia="Times New Roman" w:cs="Calibri"/>
                <w:sz w:val="24"/>
                <w:szCs w:val="24"/>
                <w:lang w:eastAsia="en-GB"/>
              </w:rPr>
              <w:t>αρμογής</w:t>
            </w:r>
          </w:p>
        </w:tc>
      </w:tr>
    </w:tbl>
    <w:p w:rsidR="00690717" w:rsidRPr="0049012C" w:rsidRDefault="00690717" w:rsidP="0049012C">
      <w:pPr>
        <w:spacing w:after="0"/>
        <w:jc w:val="both"/>
        <w:rPr>
          <w:rFonts w:eastAsia="Times New Roman" w:cs="Calibri"/>
          <w:sz w:val="24"/>
          <w:szCs w:val="24"/>
          <w:lang w:eastAsia="en-GB"/>
        </w:rPr>
      </w:pPr>
    </w:p>
    <w:p w:rsidR="00690717" w:rsidRPr="0049012C" w:rsidRDefault="00690717" w:rsidP="0049012C">
      <w:pPr>
        <w:spacing w:after="0"/>
        <w:jc w:val="both"/>
        <w:rPr>
          <w:rFonts w:eastAsia="Times New Roman" w:cs="Calibri"/>
          <w:sz w:val="24"/>
          <w:szCs w:val="24"/>
          <w:lang w:eastAsia="en-GB"/>
        </w:rPr>
      </w:pPr>
      <w:proofErr w:type="spellStart"/>
      <w:r w:rsidRPr="0049012C">
        <w:rPr>
          <w:rFonts w:eastAsia="Times New Roman" w:cs="Calibri"/>
          <w:b/>
          <w:bCs/>
          <w:color w:val="000000"/>
          <w:sz w:val="24"/>
          <w:szCs w:val="24"/>
          <w:lang w:eastAsia="en-GB"/>
        </w:rPr>
        <w:t>Κείμενο</w:t>
      </w:r>
      <w:proofErr w:type="spellEnd"/>
      <w:r w:rsidRPr="0049012C">
        <w:rPr>
          <w:rFonts w:eastAsia="Times New Roman" w:cs="Calibri"/>
          <w:b/>
          <w:bCs/>
          <w:color w:val="000000"/>
          <w:sz w:val="24"/>
          <w:szCs w:val="24"/>
          <w:lang w:eastAsia="en-GB"/>
        </w:rPr>
        <w:t xml:space="preserve"> </w:t>
      </w:r>
      <w:proofErr w:type="spellStart"/>
      <w:r w:rsidR="0049012C">
        <w:rPr>
          <w:rFonts w:eastAsia="Times New Roman" w:cs="Calibri"/>
          <w:b/>
          <w:bCs/>
          <w:color w:val="000000"/>
          <w:sz w:val="24"/>
          <w:szCs w:val="24"/>
          <w:lang w:eastAsia="en-GB"/>
        </w:rPr>
        <w:t>Άρθρο</w:t>
      </w:r>
      <w:r w:rsidRPr="0049012C">
        <w:rPr>
          <w:rFonts w:eastAsia="Times New Roman" w:cs="Calibri"/>
          <w:b/>
          <w:bCs/>
          <w:color w:val="000000"/>
          <w:sz w:val="24"/>
          <w:szCs w:val="24"/>
          <w:lang w:eastAsia="en-GB"/>
        </w:rPr>
        <w:t>υ</w:t>
      </w:r>
      <w:proofErr w:type="spellEnd"/>
    </w:p>
    <w:tbl>
      <w:tblPr>
        <w:tblStyle w:val="a4"/>
        <w:tblW w:w="9000" w:type="dxa"/>
        <w:tblLook w:val="04A0" w:firstRow="1" w:lastRow="0" w:firstColumn="1" w:lastColumn="0" w:noHBand="0" w:noVBand="1"/>
      </w:tblPr>
      <w:tblGrid>
        <w:gridCol w:w="9000"/>
      </w:tblGrid>
      <w:tr w:rsidR="00690717" w:rsidRPr="0049012C" w:rsidTr="0049012C">
        <w:tc>
          <w:tcPr>
            <w:tcW w:w="0" w:type="auto"/>
            <w:hideMark/>
          </w:tcPr>
          <w:p w:rsidR="00690717" w:rsidRPr="0049012C" w:rsidRDefault="00690717"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 xml:space="preserve">1. Οι διατάξεις του Κώδικα αυτού δεν έχουν εφαρμογή στις ακόλουθες κατηγορίες προσώπων, εκτός αν ορίζεται διαφορετικά σε επιμέρους διατάξεις του: α. Στους πολίτες της Ευρωπαϊκής Ένωσης, κατά την έννοια του άρθρου 20 παρ. 1 της Συνθήκης της Ευρωπαϊκής Κοινότητας, όπως αυτό τροποποιήθηκε και ισχύει. β. Στους υπηρετούντες σε διπλωματικές και προξενικές αρχές υπαλλήλους που απολαύουν νομικού καθεστώτος υποκειμένου στη σύμβαση της Βιέννης του 1961 περί των διπλωματικών σχέσεων, η οποία κυρώθηκε με το </w:t>
            </w:r>
            <w:proofErr w:type="spellStart"/>
            <w:r w:rsidRPr="0049012C">
              <w:rPr>
                <w:rFonts w:eastAsia="Times New Roman" w:cs="Calibri"/>
                <w:sz w:val="24"/>
                <w:szCs w:val="24"/>
                <w:lang w:val="el-GR" w:eastAsia="en-GB"/>
              </w:rPr>
              <w:t>ν.δ.</w:t>
            </w:r>
            <w:proofErr w:type="spellEnd"/>
            <w:r w:rsidRPr="0049012C">
              <w:rPr>
                <w:rFonts w:eastAsia="Times New Roman" w:cs="Calibri"/>
                <w:sz w:val="24"/>
                <w:szCs w:val="24"/>
                <w:lang w:val="el-GR" w:eastAsia="en-GB"/>
              </w:rPr>
              <w:t xml:space="preserve"> 503/1970 (Α' 108), ή στη σύμβαση της Βιέννης του 1963 περί των προξενικών σχέσεων, η οποία κυρώθηκε με το ν. 90/1975 (Α' 150), καθώς και σε ανακοινωθέντες στις αρμόδιες ελληνικές αρχές υπαλλήλους διεθνών οργανισμών, στο μέτρο που το νομικό τους καθεστώς </w:t>
            </w:r>
            <w:proofErr w:type="spellStart"/>
            <w:r w:rsidRPr="0049012C">
              <w:rPr>
                <w:rFonts w:eastAsia="Times New Roman" w:cs="Calibri"/>
                <w:sz w:val="24"/>
                <w:szCs w:val="24"/>
                <w:lang w:val="el-GR" w:eastAsia="en-GB"/>
              </w:rPr>
              <w:t>διέπεται</w:t>
            </w:r>
            <w:proofErr w:type="spellEnd"/>
            <w:r w:rsidRPr="0049012C">
              <w:rPr>
                <w:rFonts w:eastAsia="Times New Roman" w:cs="Calibri"/>
                <w:sz w:val="24"/>
                <w:szCs w:val="24"/>
                <w:lang w:val="el-GR" w:eastAsia="en-GB"/>
              </w:rPr>
              <w:t xml:space="preserve"> από τις οικείες διεθνείς συμβάσεις. γ. Στους δικαιούχους διεθνούς προστασίας, καθώς και στους αιτούντες διεθνή προστασία, κατά την έννοια της Σύμβασης της Γενεύης του 1951 και σύμφωνα με το εθνικό δίκαιο. δ. Στα πρόσωπα που έχουν την άδεια να παραμείνουν στην Ελλάδα με βάση προσωρινή προστασία ή ζήτησαν την άδεια να παραμείνουν για το λόγο αυτόν και αναμένουν την έκδοση της σχετικής απόφασης. ε. Στα πρόσωπα στα οποία έχει χορηγηθεί καθεστώς επικουρικής προστασίας.</w:t>
            </w:r>
          </w:p>
          <w:p w:rsidR="00690717" w:rsidRPr="0049012C" w:rsidRDefault="00690717"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2. Πρόσωπα που έχουν περισσότερες ιθαγένειες, από τις οποίες η μία είναι ελληνική ή κράτους - μέλους της Ευρωπαϊκής Ένωσης ή κράτους το οποίο δεν είναι μέλος της Ε.Ε. αλλά εφαρμόζει το κοινοτικό κεκτημένο σε θέματα θεωρήσεων, αντιμετωπίζονται ως Έλληνες ή πολίτες των κρατών - μελών της Ευρωπαϊκής Ένωσης αντίστοιχα και εξαιρούνται από το πεδίο εφαρμογής του Κώδικα αυτού.</w:t>
            </w:r>
          </w:p>
          <w:p w:rsidR="00690717" w:rsidRPr="0049012C" w:rsidRDefault="00690717"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3. Πρόσωπα που έχουν περισσότερες ιθαγένειες, στις οποίες δεν συμπεριλαμβάνεται η ελληνική, είναι υποχρεωμένα να επιλέξουν ιθαγένεια, με δήλωσή τους στην αρμόδια Υπηρεσία Αλλοδαπών και Μετανάστευσης, εφόσον είναι εφοδιασμένοι με διαβατήριο ή άλλο ταξιδιωτικό έγγραφο του οικείου κράτους.</w:t>
            </w:r>
          </w:p>
          <w:p w:rsidR="00690717" w:rsidRPr="0049012C" w:rsidRDefault="00690717"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4. Ο νόμος αυτός εφαρμόζεται, με την επιφύλαξη ευνοϊκότερων ρυθμίσεων που προβλέπονται: α. Σε διμερείς και πολυμερείς συμφωνίες μεταξύ των κρατών-μελών της Ευρωπαϊκής Ένωσης ή της Ευρωπαϊκής Ένωσης και των κρατών - μελών της αφενός, και τρίτων χωρών αφετέρου. β. Σε διμερείς και πολυμερείς συμφωνίες μεταξύ της Ελληνικής Δημοκρατίας και τρίτων χωρών. γ. Στον Ευρωπαϊκό Κοινωνικό Χάρτη της 18ης Οκτωβρίου 1961, ο οποίος κυρώθηκε με το ν. 1426/1984 (Α' 32).</w:t>
            </w:r>
          </w:p>
          <w:p w:rsidR="00690717" w:rsidRPr="0049012C" w:rsidRDefault="00690717"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 xml:space="preserve">5. Οι διατάξεις του Κώδικα αυτού εφαρμόζονται αναλόγως και στους </w:t>
            </w:r>
            <w:proofErr w:type="spellStart"/>
            <w:r w:rsidRPr="0049012C">
              <w:rPr>
                <w:rFonts w:eastAsia="Times New Roman" w:cs="Calibri"/>
                <w:sz w:val="24"/>
                <w:szCs w:val="24"/>
                <w:lang w:val="el-GR" w:eastAsia="en-GB"/>
              </w:rPr>
              <w:t>ανιθαγενείς</w:t>
            </w:r>
            <w:proofErr w:type="spellEnd"/>
            <w:r w:rsidRPr="0049012C">
              <w:rPr>
                <w:rFonts w:eastAsia="Times New Roman" w:cs="Calibri"/>
                <w:sz w:val="24"/>
                <w:szCs w:val="24"/>
                <w:lang w:val="el-GR" w:eastAsia="en-GB"/>
              </w:rPr>
              <w:t>.</w:t>
            </w:r>
          </w:p>
        </w:tc>
      </w:tr>
    </w:tbl>
    <w:p w:rsidR="00690717" w:rsidRPr="0049012C" w:rsidRDefault="00690717" w:rsidP="0049012C">
      <w:pPr>
        <w:jc w:val="both"/>
        <w:rPr>
          <w:rFonts w:cs="Calibri"/>
          <w:sz w:val="24"/>
          <w:szCs w:val="24"/>
          <w:lang w:val="el-GR"/>
        </w:rPr>
      </w:pPr>
    </w:p>
    <w:tbl>
      <w:tblPr>
        <w:tblStyle w:val="a4"/>
        <w:tblW w:w="5000" w:type="pct"/>
        <w:tblLook w:val="04A0" w:firstRow="1" w:lastRow="0" w:firstColumn="1" w:lastColumn="0" w:noHBand="0" w:noVBand="1"/>
      </w:tblPr>
      <w:tblGrid>
        <w:gridCol w:w="9016"/>
      </w:tblGrid>
      <w:tr w:rsidR="00690717" w:rsidRPr="0049012C" w:rsidTr="0049012C">
        <w:tc>
          <w:tcPr>
            <w:tcW w:w="5000" w:type="pct"/>
            <w:noWrap/>
            <w:hideMark/>
          </w:tcPr>
          <w:p w:rsidR="00690717" w:rsidRPr="0049012C" w:rsidRDefault="00690717" w:rsidP="0049012C">
            <w:pPr>
              <w:spacing w:after="0"/>
              <w:jc w:val="both"/>
              <w:rPr>
                <w:rFonts w:eastAsia="Times New Roman" w:cs="Calibri"/>
                <w:sz w:val="24"/>
                <w:szCs w:val="24"/>
                <w:lang w:eastAsia="en-GB"/>
              </w:rPr>
            </w:pPr>
            <w:r w:rsidRPr="0049012C">
              <w:rPr>
                <w:rFonts w:eastAsia="Times New Roman" w:cs="Calibri"/>
                <w:sz w:val="24"/>
                <w:szCs w:val="24"/>
                <w:lang w:eastAsia="en-GB"/>
              </w:rPr>
              <w:t>ΝΟΜΟΣ - </w:t>
            </w:r>
            <w:r w:rsidRPr="0049012C">
              <w:rPr>
                <w:rFonts w:eastAsia="Times New Roman" w:cs="Calibri"/>
                <w:b/>
                <w:bCs/>
                <w:sz w:val="24"/>
                <w:szCs w:val="24"/>
                <w:lang w:eastAsia="en-GB"/>
              </w:rPr>
              <w:t>4251</w:t>
            </w:r>
            <w:r w:rsidRPr="0049012C">
              <w:rPr>
                <w:rFonts w:eastAsia="Times New Roman" w:cs="Calibri"/>
                <w:sz w:val="24"/>
                <w:szCs w:val="24"/>
                <w:lang w:eastAsia="en-GB"/>
              </w:rPr>
              <w:t> - 2014</w:t>
            </w:r>
          </w:p>
        </w:tc>
      </w:tr>
    </w:tbl>
    <w:p w:rsidR="00690717" w:rsidRPr="0049012C" w:rsidRDefault="00690717" w:rsidP="0049012C">
      <w:pPr>
        <w:spacing w:after="0"/>
        <w:jc w:val="both"/>
        <w:rPr>
          <w:rFonts w:eastAsia="Times New Roman" w:cs="Calibri"/>
          <w:vanish/>
          <w:sz w:val="24"/>
          <w:szCs w:val="24"/>
          <w:lang w:eastAsia="en-GB"/>
        </w:rPr>
      </w:pPr>
    </w:p>
    <w:tbl>
      <w:tblPr>
        <w:tblStyle w:val="a4"/>
        <w:tblW w:w="0" w:type="auto"/>
        <w:tblLook w:val="04A0" w:firstRow="1" w:lastRow="0" w:firstColumn="1" w:lastColumn="0" w:noHBand="0" w:noVBand="1"/>
      </w:tblPr>
      <w:tblGrid>
        <w:gridCol w:w="2625"/>
        <w:gridCol w:w="6391"/>
      </w:tblGrid>
      <w:tr w:rsidR="00690717" w:rsidRPr="0049012C" w:rsidTr="0049012C">
        <w:tc>
          <w:tcPr>
            <w:tcW w:w="0" w:type="auto"/>
            <w:hideMark/>
          </w:tcPr>
          <w:p w:rsidR="00690717" w:rsidRPr="0049012C" w:rsidRDefault="0049012C" w:rsidP="0049012C">
            <w:pPr>
              <w:spacing w:after="0"/>
              <w:jc w:val="both"/>
              <w:rPr>
                <w:rFonts w:eastAsia="Times New Roman" w:cs="Calibri"/>
                <w:color w:val="000000"/>
                <w:sz w:val="24"/>
                <w:szCs w:val="24"/>
                <w:lang w:eastAsia="en-GB"/>
              </w:rPr>
            </w:pPr>
            <w:proofErr w:type="spellStart"/>
            <w:r>
              <w:rPr>
                <w:rFonts w:eastAsia="Times New Roman" w:cs="Calibri"/>
                <w:b/>
                <w:bCs/>
                <w:color w:val="000000"/>
                <w:sz w:val="24"/>
                <w:szCs w:val="24"/>
                <w:lang w:eastAsia="en-GB"/>
              </w:rPr>
              <w:lastRenderedPageBreak/>
              <w:t>Άρθρο</w:t>
            </w:r>
            <w:proofErr w:type="spellEnd"/>
            <w:r w:rsidR="00690717" w:rsidRPr="0049012C">
              <w:rPr>
                <w:rFonts w:eastAsia="Times New Roman" w:cs="Calibri"/>
                <w:b/>
                <w:bCs/>
                <w:color w:val="000000"/>
                <w:sz w:val="24"/>
                <w:szCs w:val="24"/>
                <w:lang w:eastAsia="en-GB"/>
              </w:rPr>
              <w:t>:</w:t>
            </w:r>
          </w:p>
        </w:tc>
        <w:tc>
          <w:tcPr>
            <w:tcW w:w="0" w:type="auto"/>
            <w:hideMark/>
          </w:tcPr>
          <w:p w:rsidR="00690717" w:rsidRPr="0049012C" w:rsidRDefault="00690717" w:rsidP="0049012C">
            <w:pPr>
              <w:spacing w:after="0"/>
              <w:jc w:val="both"/>
              <w:rPr>
                <w:rFonts w:eastAsia="Times New Roman" w:cs="Calibri"/>
                <w:color w:val="000000"/>
                <w:sz w:val="24"/>
                <w:szCs w:val="24"/>
                <w:lang w:eastAsia="en-GB"/>
              </w:rPr>
            </w:pPr>
            <w:r w:rsidRPr="0049012C">
              <w:rPr>
                <w:rFonts w:eastAsia="Times New Roman" w:cs="Calibri"/>
                <w:color w:val="000000"/>
                <w:sz w:val="24"/>
                <w:szCs w:val="24"/>
                <w:lang w:eastAsia="en-GB"/>
              </w:rPr>
              <w:t>29</w:t>
            </w:r>
          </w:p>
        </w:tc>
      </w:tr>
      <w:tr w:rsidR="00690717" w:rsidRPr="0049012C" w:rsidTr="0049012C">
        <w:tc>
          <w:tcPr>
            <w:tcW w:w="0" w:type="auto"/>
            <w:hideMark/>
          </w:tcPr>
          <w:p w:rsidR="00690717" w:rsidRPr="0049012C" w:rsidRDefault="00690717" w:rsidP="0049012C">
            <w:pPr>
              <w:spacing w:after="0"/>
              <w:jc w:val="both"/>
              <w:rPr>
                <w:rFonts w:eastAsia="Times New Roman" w:cs="Calibri"/>
                <w:color w:val="000000"/>
                <w:sz w:val="24"/>
                <w:szCs w:val="24"/>
                <w:lang w:eastAsia="en-GB"/>
              </w:rPr>
            </w:pPr>
            <w:proofErr w:type="spellStart"/>
            <w:r w:rsidRPr="0049012C">
              <w:rPr>
                <w:rFonts w:eastAsia="Times New Roman" w:cs="Calibri"/>
                <w:b/>
                <w:bCs/>
                <w:color w:val="000000"/>
                <w:sz w:val="24"/>
                <w:szCs w:val="24"/>
                <w:lang w:eastAsia="en-GB"/>
              </w:rPr>
              <w:t>Ημ</w:t>
            </w:r>
            <w:proofErr w:type="spellEnd"/>
            <w:r w:rsidRPr="0049012C">
              <w:rPr>
                <w:rFonts w:eastAsia="Times New Roman" w:cs="Calibri"/>
                <w:b/>
                <w:bCs/>
                <w:color w:val="000000"/>
                <w:sz w:val="24"/>
                <w:szCs w:val="24"/>
                <w:lang w:eastAsia="en-GB"/>
              </w:rPr>
              <w:t>/</w:t>
            </w:r>
            <w:proofErr w:type="spellStart"/>
            <w:r w:rsidRPr="0049012C">
              <w:rPr>
                <w:rFonts w:eastAsia="Times New Roman" w:cs="Calibri"/>
                <w:b/>
                <w:bCs/>
                <w:color w:val="000000"/>
                <w:sz w:val="24"/>
                <w:szCs w:val="24"/>
                <w:lang w:eastAsia="en-GB"/>
              </w:rPr>
              <w:t>νί</w:t>
            </w:r>
            <w:proofErr w:type="spellEnd"/>
            <w:r w:rsidRPr="0049012C">
              <w:rPr>
                <w:rFonts w:eastAsia="Times New Roman" w:cs="Calibri"/>
                <w:b/>
                <w:bCs/>
                <w:color w:val="000000"/>
                <w:sz w:val="24"/>
                <w:szCs w:val="24"/>
                <w:lang w:eastAsia="en-GB"/>
              </w:rPr>
              <w:t>α:</w:t>
            </w:r>
          </w:p>
        </w:tc>
        <w:tc>
          <w:tcPr>
            <w:tcW w:w="0" w:type="auto"/>
            <w:hideMark/>
          </w:tcPr>
          <w:p w:rsidR="00690717" w:rsidRPr="0049012C" w:rsidRDefault="00690717" w:rsidP="0049012C">
            <w:pPr>
              <w:spacing w:after="0"/>
              <w:jc w:val="both"/>
              <w:rPr>
                <w:rFonts w:eastAsia="Times New Roman" w:cs="Calibri"/>
                <w:color w:val="000000"/>
                <w:sz w:val="24"/>
                <w:szCs w:val="24"/>
                <w:lang w:eastAsia="en-GB"/>
              </w:rPr>
            </w:pPr>
            <w:r w:rsidRPr="0049012C">
              <w:rPr>
                <w:rFonts w:eastAsia="Times New Roman" w:cs="Calibri"/>
                <w:color w:val="000000"/>
                <w:sz w:val="24"/>
                <w:szCs w:val="24"/>
                <w:lang w:eastAsia="en-GB"/>
              </w:rPr>
              <w:t>09.07.2015</w:t>
            </w:r>
          </w:p>
        </w:tc>
      </w:tr>
      <w:tr w:rsidR="00690717" w:rsidRPr="0049012C" w:rsidTr="0049012C">
        <w:tc>
          <w:tcPr>
            <w:tcW w:w="0" w:type="auto"/>
            <w:hideMark/>
          </w:tcPr>
          <w:p w:rsidR="00690717" w:rsidRPr="0049012C" w:rsidRDefault="00690717" w:rsidP="0049012C">
            <w:pPr>
              <w:spacing w:after="0"/>
              <w:jc w:val="both"/>
              <w:rPr>
                <w:rFonts w:eastAsia="Times New Roman" w:cs="Calibri"/>
                <w:color w:val="000000"/>
                <w:sz w:val="24"/>
                <w:szCs w:val="24"/>
                <w:lang w:eastAsia="en-GB"/>
              </w:rPr>
            </w:pPr>
            <w:proofErr w:type="spellStart"/>
            <w:r w:rsidRPr="0049012C">
              <w:rPr>
                <w:rFonts w:eastAsia="Times New Roman" w:cs="Calibri"/>
                <w:b/>
                <w:bCs/>
                <w:color w:val="000000"/>
                <w:sz w:val="24"/>
                <w:szCs w:val="24"/>
                <w:lang w:eastAsia="en-GB"/>
              </w:rPr>
              <w:t>Περιγρ</w:t>
            </w:r>
            <w:proofErr w:type="spellEnd"/>
            <w:r w:rsidRPr="0049012C">
              <w:rPr>
                <w:rFonts w:eastAsia="Times New Roman" w:cs="Calibri"/>
                <w:b/>
                <w:bCs/>
                <w:color w:val="000000"/>
                <w:sz w:val="24"/>
                <w:szCs w:val="24"/>
                <w:lang w:eastAsia="en-GB"/>
              </w:rPr>
              <w:t xml:space="preserve">αφή </w:t>
            </w:r>
            <w:proofErr w:type="spellStart"/>
            <w:r w:rsidRPr="0049012C">
              <w:rPr>
                <w:rFonts w:eastAsia="Times New Roman" w:cs="Calibri"/>
                <w:b/>
                <w:bCs/>
                <w:color w:val="000000"/>
                <w:sz w:val="24"/>
                <w:szCs w:val="24"/>
                <w:lang w:eastAsia="en-GB"/>
              </w:rPr>
              <w:t>όρου</w:t>
            </w:r>
            <w:proofErr w:type="spellEnd"/>
            <w:r w:rsidRPr="0049012C">
              <w:rPr>
                <w:rFonts w:eastAsia="Times New Roman" w:cs="Calibri"/>
                <w:b/>
                <w:bCs/>
                <w:color w:val="000000"/>
                <w:sz w:val="24"/>
                <w:szCs w:val="24"/>
                <w:lang w:eastAsia="en-GB"/>
              </w:rPr>
              <w:t xml:space="preserve"> </w:t>
            </w:r>
            <w:proofErr w:type="spellStart"/>
            <w:r w:rsidRPr="0049012C">
              <w:rPr>
                <w:rFonts w:eastAsia="Times New Roman" w:cs="Calibri"/>
                <w:b/>
                <w:bCs/>
                <w:color w:val="000000"/>
                <w:sz w:val="24"/>
                <w:szCs w:val="24"/>
                <w:lang w:eastAsia="en-GB"/>
              </w:rPr>
              <w:t>θησ</w:t>
            </w:r>
            <w:proofErr w:type="spellEnd"/>
            <w:r w:rsidRPr="0049012C">
              <w:rPr>
                <w:rFonts w:eastAsia="Times New Roman" w:cs="Calibri"/>
                <w:b/>
                <w:bCs/>
                <w:color w:val="000000"/>
                <w:sz w:val="24"/>
                <w:szCs w:val="24"/>
                <w:lang w:eastAsia="en-GB"/>
              </w:rPr>
              <w:t>αυρού:</w:t>
            </w:r>
          </w:p>
        </w:tc>
        <w:tc>
          <w:tcPr>
            <w:tcW w:w="0" w:type="auto"/>
            <w:hideMark/>
          </w:tcPr>
          <w:p w:rsidR="00690717" w:rsidRPr="0049012C" w:rsidRDefault="00690717" w:rsidP="0049012C">
            <w:pPr>
              <w:spacing w:after="0"/>
              <w:jc w:val="both"/>
              <w:rPr>
                <w:rFonts w:eastAsia="Times New Roman" w:cs="Calibri"/>
                <w:color w:val="000000"/>
                <w:sz w:val="24"/>
                <w:szCs w:val="24"/>
                <w:lang w:val="el-GR" w:eastAsia="en-GB"/>
              </w:rPr>
            </w:pPr>
            <w:r w:rsidRPr="0049012C">
              <w:rPr>
                <w:rFonts w:eastAsia="Times New Roman" w:cs="Calibri"/>
                <w:color w:val="000000"/>
                <w:sz w:val="24"/>
                <w:szCs w:val="24"/>
                <w:lang w:val="el-GR" w:eastAsia="en-GB"/>
              </w:rPr>
              <w:t>ΠΟΙΝΙΚΕΣ ΠΑΡΑΒΑΣΕΙΣ ΠΕΡΙ ΕΙΣΟΔΟΥ - ΜΕΤΑΦΟΡΑΣ - ΠΑΡΑΜΟΝΗΣ ΑΛΛΟΔΑΠΩΝ</w:t>
            </w:r>
          </w:p>
        </w:tc>
      </w:tr>
    </w:tbl>
    <w:p w:rsidR="00690717" w:rsidRPr="0049012C" w:rsidRDefault="00690717" w:rsidP="0049012C">
      <w:pPr>
        <w:spacing w:after="0"/>
        <w:jc w:val="both"/>
        <w:rPr>
          <w:rFonts w:eastAsia="Times New Roman" w:cs="Calibri"/>
          <w:vanish/>
          <w:sz w:val="24"/>
          <w:szCs w:val="24"/>
          <w:lang w:val="el-GR" w:eastAsia="en-GB"/>
        </w:rPr>
      </w:pPr>
    </w:p>
    <w:tbl>
      <w:tblPr>
        <w:tblStyle w:val="a4"/>
        <w:tblW w:w="0" w:type="auto"/>
        <w:tblLook w:val="04A0" w:firstRow="1" w:lastRow="0" w:firstColumn="1" w:lastColumn="0" w:noHBand="0" w:noVBand="1"/>
      </w:tblPr>
      <w:tblGrid>
        <w:gridCol w:w="222"/>
      </w:tblGrid>
      <w:tr w:rsidR="00690717" w:rsidRPr="0049012C" w:rsidTr="0049012C">
        <w:tc>
          <w:tcPr>
            <w:tcW w:w="0" w:type="auto"/>
            <w:hideMark/>
          </w:tcPr>
          <w:p w:rsidR="00690717" w:rsidRPr="0049012C" w:rsidRDefault="00690717" w:rsidP="0049012C">
            <w:pPr>
              <w:spacing w:after="0"/>
              <w:jc w:val="both"/>
              <w:rPr>
                <w:rFonts w:eastAsia="Times New Roman" w:cs="Calibri"/>
                <w:sz w:val="24"/>
                <w:szCs w:val="24"/>
                <w:lang w:val="el-GR" w:eastAsia="en-GB"/>
              </w:rPr>
            </w:pPr>
          </w:p>
        </w:tc>
      </w:tr>
    </w:tbl>
    <w:p w:rsidR="00690717" w:rsidRPr="0049012C" w:rsidRDefault="00690717" w:rsidP="0049012C">
      <w:pPr>
        <w:spacing w:after="0"/>
        <w:jc w:val="both"/>
        <w:rPr>
          <w:rFonts w:eastAsia="Times New Roman" w:cs="Calibri"/>
          <w:vanish/>
          <w:sz w:val="24"/>
          <w:szCs w:val="24"/>
          <w:lang w:eastAsia="en-GB"/>
        </w:rPr>
      </w:pPr>
    </w:p>
    <w:tbl>
      <w:tblPr>
        <w:tblStyle w:val="a4"/>
        <w:tblW w:w="9085" w:type="dxa"/>
        <w:tblLook w:val="04A0" w:firstRow="1" w:lastRow="0" w:firstColumn="1" w:lastColumn="0" w:noHBand="0" w:noVBand="1"/>
      </w:tblPr>
      <w:tblGrid>
        <w:gridCol w:w="9085"/>
      </w:tblGrid>
      <w:tr w:rsidR="00690717" w:rsidRPr="0049012C" w:rsidTr="0049012C">
        <w:tc>
          <w:tcPr>
            <w:tcW w:w="0" w:type="auto"/>
            <w:hideMark/>
          </w:tcPr>
          <w:p w:rsidR="00690717" w:rsidRPr="0049012C" w:rsidRDefault="0049012C" w:rsidP="0049012C">
            <w:pPr>
              <w:spacing w:after="0"/>
              <w:jc w:val="both"/>
              <w:rPr>
                <w:rFonts w:eastAsia="Times New Roman" w:cs="Calibri"/>
                <w:sz w:val="24"/>
                <w:szCs w:val="24"/>
                <w:lang w:eastAsia="en-GB"/>
              </w:rPr>
            </w:pPr>
            <w:r w:rsidRPr="0049012C">
              <w:rPr>
                <w:rFonts w:eastAsia="Times New Roman" w:cs="Calibri"/>
                <w:sz w:val="24"/>
                <w:szCs w:val="24"/>
                <w:lang w:eastAsia="en-GB"/>
              </w:rPr>
              <w:pict>
                <v:rect id="_x0000_i1027" style="width:0;height:1.5pt" o:hralign="center" o:hrstd="t" o:hr="t" fillcolor="#a0a0a0" stroked="f"/>
              </w:pict>
            </w:r>
          </w:p>
        </w:tc>
      </w:tr>
      <w:tr w:rsidR="00690717" w:rsidRPr="0049012C" w:rsidTr="0049012C">
        <w:tc>
          <w:tcPr>
            <w:tcW w:w="0" w:type="auto"/>
            <w:hideMark/>
          </w:tcPr>
          <w:p w:rsidR="00690717" w:rsidRPr="0049012C" w:rsidRDefault="00690717" w:rsidP="0049012C">
            <w:pPr>
              <w:spacing w:before="100" w:beforeAutospacing="1" w:after="100" w:afterAutospacing="1"/>
              <w:rPr>
                <w:rFonts w:eastAsia="Times New Roman" w:cs="Calibri"/>
                <w:sz w:val="24"/>
                <w:szCs w:val="24"/>
                <w:lang w:val="el-GR" w:eastAsia="en-GB"/>
              </w:rPr>
            </w:pPr>
            <w:r w:rsidRPr="0049012C">
              <w:rPr>
                <w:rFonts w:eastAsia="Times New Roman" w:cs="Calibri"/>
                <w:b/>
                <w:bCs/>
                <w:sz w:val="24"/>
                <w:szCs w:val="24"/>
                <w:lang w:val="el-GR" w:eastAsia="en-GB"/>
              </w:rPr>
              <w:t xml:space="preserve">Τίτλος </w:t>
            </w:r>
            <w:r w:rsidR="0049012C">
              <w:rPr>
                <w:rFonts w:eastAsia="Times New Roman" w:cs="Calibri"/>
                <w:b/>
                <w:bCs/>
                <w:sz w:val="24"/>
                <w:szCs w:val="24"/>
                <w:lang w:val="el-GR" w:eastAsia="en-GB"/>
              </w:rPr>
              <w:t>Άρθρο</w:t>
            </w:r>
            <w:r w:rsidRPr="0049012C">
              <w:rPr>
                <w:rFonts w:eastAsia="Times New Roman" w:cs="Calibri"/>
                <w:b/>
                <w:bCs/>
                <w:sz w:val="24"/>
                <w:szCs w:val="24"/>
                <w:lang w:val="el-GR" w:eastAsia="en-GB"/>
              </w:rPr>
              <w:t>υ</w:t>
            </w:r>
            <w:r w:rsidRPr="0049012C">
              <w:rPr>
                <w:rFonts w:eastAsia="Times New Roman" w:cs="Calibri"/>
                <w:sz w:val="24"/>
                <w:szCs w:val="24"/>
                <w:lang w:val="el-GR" w:eastAsia="en-GB"/>
              </w:rPr>
              <w:br/>
              <w:t>Υποχρεώσεις ιδιωτών και υπαλλήλων - Κυρώσεις</w:t>
            </w:r>
          </w:p>
        </w:tc>
      </w:tr>
      <w:tr w:rsidR="00690717" w:rsidRPr="0049012C" w:rsidTr="0049012C">
        <w:tc>
          <w:tcPr>
            <w:tcW w:w="0" w:type="auto"/>
            <w:hideMark/>
          </w:tcPr>
          <w:p w:rsidR="00690717" w:rsidRPr="0049012C" w:rsidRDefault="00690717"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b/>
                <w:bCs/>
                <w:sz w:val="24"/>
                <w:szCs w:val="24"/>
                <w:lang w:val="el-GR" w:eastAsia="en-GB"/>
              </w:rPr>
              <w:t>Σχόλια</w:t>
            </w:r>
            <w:r w:rsidRPr="0049012C">
              <w:rPr>
                <w:rFonts w:eastAsia="Times New Roman" w:cs="Calibri"/>
                <w:sz w:val="24"/>
                <w:szCs w:val="24"/>
                <w:lang w:val="el-GR" w:eastAsia="en-GB"/>
              </w:rPr>
              <w:br/>
              <w:t>- Η παρ. 4 τίθεται όπως ΑΝΤΙΚΑΤΑΣΤΑΘΗΚΕ με την παρ. 34 του άρθρου 8 του ν. 4332/2015 (Α΄ 76/9.7.2015).</w:t>
            </w:r>
          </w:p>
        </w:tc>
      </w:tr>
      <w:tr w:rsidR="0049012C" w:rsidRPr="0049012C" w:rsidTr="0049012C">
        <w:tc>
          <w:tcPr>
            <w:tcW w:w="0" w:type="auto"/>
          </w:tcPr>
          <w:p w:rsidR="0049012C" w:rsidRPr="0049012C" w:rsidRDefault="0049012C" w:rsidP="0049012C">
            <w:pPr>
              <w:spacing w:before="100" w:beforeAutospacing="1" w:after="100" w:afterAutospacing="1"/>
              <w:jc w:val="both"/>
              <w:rPr>
                <w:rFonts w:eastAsia="Times New Roman" w:cs="Calibri"/>
                <w:b/>
                <w:bCs/>
                <w:sz w:val="24"/>
                <w:szCs w:val="24"/>
                <w:lang w:val="el-GR" w:eastAsia="en-GB"/>
              </w:rPr>
            </w:pPr>
            <w:proofErr w:type="spellStart"/>
            <w:r w:rsidRPr="0049012C">
              <w:rPr>
                <w:rFonts w:eastAsia="Times New Roman" w:cs="Calibri"/>
                <w:b/>
                <w:bCs/>
                <w:color w:val="000000"/>
                <w:sz w:val="24"/>
                <w:szCs w:val="24"/>
                <w:lang w:eastAsia="en-GB"/>
              </w:rPr>
              <w:t>Κείμενο</w:t>
            </w:r>
            <w:proofErr w:type="spellEnd"/>
            <w:r w:rsidRPr="0049012C">
              <w:rPr>
                <w:rFonts w:eastAsia="Times New Roman" w:cs="Calibri"/>
                <w:b/>
                <w:bCs/>
                <w:color w:val="000000"/>
                <w:sz w:val="24"/>
                <w:szCs w:val="24"/>
                <w:lang w:eastAsia="en-GB"/>
              </w:rPr>
              <w:t xml:space="preserve"> </w:t>
            </w:r>
            <w:proofErr w:type="spellStart"/>
            <w:r>
              <w:rPr>
                <w:rFonts w:eastAsia="Times New Roman" w:cs="Calibri"/>
                <w:b/>
                <w:bCs/>
                <w:color w:val="000000"/>
                <w:sz w:val="24"/>
                <w:szCs w:val="24"/>
                <w:lang w:eastAsia="en-GB"/>
              </w:rPr>
              <w:t>Άρθρο</w:t>
            </w:r>
            <w:r w:rsidRPr="0049012C">
              <w:rPr>
                <w:rFonts w:eastAsia="Times New Roman" w:cs="Calibri"/>
                <w:b/>
                <w:bCs/>
                <w:color w:val="000000"/>
                <w:sz w:val="24"/>
                <w:szCs w:val="24"/>
                <w:lang w:eastAsia="en-GB"/>
              </w:rPr>
              <w:t>υ</w:t>
            </w:r>
            <w:proofErr w:type="spellEnd"/>
          </w:p>
        </w:tc>
      </w:tr>
      <w:tr w:rsidR="0049012C" w:rsidRPr="0049012C" w:rsidTr="0049012C">
        <w:trPr>
          <w:trHeight w:val="4101"/>
        </w:trPr>
        <w:tc>
          <w:tcPr>
            <w:tcW w:w="0" w:type="auto"/>
          </w:tcPr>
          <w:p w:rsidR="0049012C" w:rsidRPr="0049012C" w:rsidRDefault="0049012C"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1. Απαγορεύεται η εκμίσθωση ακινήτων σε πολίτη τρίτης χώρας που δεν έχει διαβατήριο ή άλλο ταξιδιωτικό έγγραφο που αναγνωρίζεται από διεθνείς συμβάσεις και ισχυρή θεώρηση εισόδου ή άδεια διαμονής.</w:t>
            </w:r>
          </w:p>
          <w:p w:rsidR="0049012C" w:rsidRPr="0049012C" w:rsidRDefault="0049012C"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2. Οι διευθυντές ξενοδοχείων και παραθεριστικών κέντρων οφείλουν να ενημερώνουν την αστυνομική υπηρεσία για την άφιξη και την αναχώρηση πολιτών τρίτων χωρών που φιλοξενούν.</w:t>
            </w:r>
          </w:p>
          <w:p w:rsidR="0049012C" w:rsidRPr="0049012C" w:rsidRDefault="0049012C"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3. Στα πρόσωπα που παραβιάζουν τις διατάξεις των παραγράφων 1 και 2, πέραν άλλων κυρώσεων που προβλέπονται από τη νομοθεσία, επιβάλλεται, με απόφαση του Γενικού Γραμματέα Αποκεντρωμένης Διοίκησης, χρηματικό πρόστιμο χιλίων πεντακοσίων (1.500) ευρώ έως τρεις χιλιάδες (3.000) ευρώ.</w:t>
            </w:r>
          </w:p>
          <w:p w:rsidR="0049012C" w:rsidRPr="0049012C" w:rsidRDefault="0049012C"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«4. Στα πρόσωπα που υποβάλλουν ανακριβείς δηλώσεις ή βεβαιώσεις που προβλέπονται στο νόμο αυτόν και στις κατ' εξουσιοδότηση εκδιδόμενες κανονιστικές πράξεις, καθώς και στους πολίτες τρίτων χωρών οι οποίοι κατέχουν άδεια διαμονής, παρέχουν όμως εξαρτημένη εργασία ή υπηρεσίες ή έργο ή ασκούν ανεξάρτητη οικονομική δραστηριότητα, χωρίς την απαιτούμενη, κατ' αντιστοιχία, άδεια διαμονής ή έγκριση πρόσβασης στην αγορά εργασίας επιβάλλεται πρόστιμο ύψους 150 ευρώ.»</w:t>
            </w:r>
          </w:p>
          <w:p w:rsidR="0049012C" w:rsidRPr="0049012C" w:rsidRDefault="0049012C"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5. Όποιος διευκολύνει την είσοδο στο ελληνικό έδαφος ή την έξοδο από αυτό πολίτη τρίτης χώρας, χωρίς να υποβληθεί στον έλεγχο που προβλέπεται στο άρθρο 5, τιμωρείται με κάθειρξη μέχρι δέκα (10) ετών και χρηματική ποινή τουλάχιστον είκοσι χιλιάδων (20.000) ευρώ. Αν ο ανωτέρω ενήργησε εκ κερδοσκοπίας ή κατ' επάγγελμα ή κατά συνήθεια ή το έγκλημα τελείται από δύο (2) ή περισσότερους από κοινού, επιβάλλεται κάθειρξη τουλάχιστον δέκα (10) ετών και χρηματική ποινή τουλάχιστον πενήντα χιλιάδων (50.000) ευρώ.</w:t>
            </w:r>
          </w:p>
          <w:p w:rsidR="0049012C" w:rsidRPr="0049012C" w:rsidRDefault="0049012C"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6. Όποιος διευκολύνει την παράνομη διαμονή πολίτη τρίτης χώρας ή δυσχεραίνει τις έρευνες των αστυνομικών αρχών για εντοπισμό, σύλληψη και απέλασή του, τιμωρείται με φυλάκιση τουλάχιστον ενός (1) έτους και με χρηματική ποινή τουλάχιστον πέντε χιλιάδων (5.000) ευρώ. Αν ο ανωτέρω ενήργησε εκ κερδοσκοπίας, επιβάλλεται φυλάκιση τουλάχιστον δύο (2) ετών και χρηματική ποινή τουλάχιστον δέκα χιλιάδων (10.000) ευρώ.</w:t>
            </w:r>
          </w:p>
          <w:p w:rsidR="0049012C" w:rsidRPr="0049012C" w:rsidRDefault="0049012C"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 xml:space="preserve">7. Όποιος παράνομα κατέχει ή χρησιμοποιεί γνήσιο διαβατήριο ή άλλο ταξιδιωτικό έγγραφο άλλου προσώπου, τιμωρείται με φυλάκιση τουλάχιστον έξι (6) μηνών και με </w:t>
            </w:r>
            <w:r w:rsidRPr="0049012C">
              <w:rPr>
                <w:rFonts w:eastAsia="Times New Roman" w:cs="Calibri"/>
                <w:sz w:val="24"/>
                <w:szCs w:val="24"/>
                <w:lang w:val="el-GR" w:eastAsia="en-GB"/>
              </w:rPr>
              <w:lastRenderedPageBreak/>
              <w:t>χρηματική ποινή τουλάχιστον τριών χιλιάδων (3.000) ευρώ. Με την ίδια ποινή τιμωρείται και όποιος παρακρατεί διαβατήριο ή άλλο ταξιδιωτικό έγγραφο άλλου προσώπου ή αρνείται να παραδώσει τούτο στην αρμόδια υπηρεσία. Με την ίδια, επίσης, ποινή τιμωρείται όποιος κατέχει ή χρησιμοποιεί πλαστό διαβατήριο ή άλλο ταξιδιωτικό έγγραφο.</w:t>
            </w:r>
          </w:p>
          <w:p w:rsidR="0049012C" w:rsidRPr="0049012C" w:rsidRDefault="0049012C" w:rsidP="0049012C">
            <w:pPr>
              <w:spacing w:before="100" w:beforeAutospacing="1" w:after="100" w:afterAutospacing="1"/>
              <w:jc w:val="both"/>
              <w:rPr>
                <w:rFonts w:eastAsia="Times New Roman" w:cs="Calibri"/>
                <w:b/>
                <w:bCs/>
                <w:color w:val="000000"/>
                <w:sz w:val="24"/>
                <w:szCs w:val="24"/>
                <w:lang w:val="el-GR" w:eastAsia="en-GB"/>
              </w:rPr>
            </w:pPr>
            <w:r w:rsidRPr="0049012C">
              <w:rPr>
                <w:rFonts w:eastAsia="Times New Roman" w:cs="Calibri"/>
                <w:sz w:val="24"/>
                <w:szCs w:val="24"/>
                <w:lang w:val="el-GR" w:eastAsia="en-GB"/>
              </w:rPr>
              <w:t xml:space="preserve">8. Ο υπεύθυνος γραφείου </w:t>
            </w:r>
            <w:proofErr w:type="spellStart"/>
            <w:r w:rsidRPr="0049012C">
              <w:rPr>
                <w:rFonts w:eastAsia="Times New Roman" w:cs="Calibri"/>
                <w:sz w:val="24"/>
                <w:szCs w:val="24"/>
                <w:lang w:val="el-GR" w:eastAsia="en-GB"/>
              </w:rPr>
              <w:t>ταξιδίων</w:t>
            </w:r>
            <w:proofErr w:type="spellEnd"/>
            <w:r w:rsidRPr="0049012C">
              <w:rPr>
                <w:rFonts w:eastAsia="Times New Roman" w:cs="Calibri"/>
                <w:sz w:val="24"/>
                <w:szCs w:val="24"/>
                <w:lang w:val="el-GR" w:eastAsia="en-GB"/>
              </w:rPr>
              <w:t xml:space="preserve"> ή μετανάστευσης ή οποιοσδήποτε άλλος υποβάλλει για λογαριασμό τρίτου στην αρμόδια αρχή δικαιολογητικά εκδόσεως ταξιδιωτικού εγγράφου, με στοιχεία που δεν ανταποκρίνονται στην ταυτότητα του προσώπου αυτού, τιμωρείται με φυλάκιση τουλάχιστον ενός (1) έτους και με χρηματική ποινή τουλάχιστον δέκα χιλιάδων (10.000) ευρώ. Με την ίδια ποινή τιμωρείται και εκείνος, για λογαριασμό του οποίου υποβάλλονται τα δικαιολογητικά. Με απόφαση του οικείου Περιφερειάρχη επιβάλλεται και τρίμηνη αφαίρεση της άδειας λειτουργίας του γραφείου και, σε περίπτωση υποτροπής, οριστική αφαίρεση της άδειας αυτής.</w:t>
            </w:r>
          </w:p>
        </w:tc>
      </w:tr>
      <w:tr w:rsidR="0049012C" w:rsidRPr="0049012C" w:rsidTr="0049012C">
        <w:tc>
          <w:tcPr>
            <w:tcW w:w="0" w:type="auto"/>
          </w:tcPr>
          <w:p w:rsidR="0049012C" w:rsidRPr="0049012C" w:rsidRDefault="0049012C"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eastAsia="en-GB"/>
              </w:rPr>
              <w:lastRenderedPageBreak/>
              <w:t>ΝΟΜΟΣ - </w:t>
            </w:r>
            <w:r w:rsidRPr="0049012C">
              <w:rPr>
                <w:rFonts w:eastAsia="Times New Roman" w:cs="Calibri"/>
                <w:b/>
                <w:bCs/>
                <w:sz w:val="24"/>
                <w:szCs w:val="24"/>
                <w:lang w:eastAsia="en-GB"/>
              </w:rPr>
              <w:t>4251</w:t>
            </w:r>
            <w:r w:rsidRPr="0049012C">
              <w:rPr>
                <w:rFonts w:eastAsia="Times New Roman" w:cs="Calibri"/>
                <w:sz w:val="24"/>
                <w:szCs w:val="24"/>
                <w:lang w:eastAsia="en-GB"/>
              </w:rPr>
              <w:t> - 2014</w:t>
            </w:r>
          </w:p>
        </w:tc>
      </w:tr>
    </w:tbl>
    <w:p w:rsidR="00690717" w:rsidRPr="0049012C" w:rsidRDefault="00690717" w:rsidP="0049012C">
      <w:pPr>
        <w:spacing w:after="0"/>
        <w:jc w:val="both"/>
        <w:rPr>
          <w:rFonts w:eastAsia="Times New Roman" w:cs="Calibri"/>
          <w:vanish/>
          <w:sz w:val="24"/>
          <w:szCs w:val="24"/>
          <w:lang w:eastAsia="en-GB"/>
        </w:rPr>
      </w:pPr>
    </w:p>
    <w:tbl>
      <w:tblPr>
        <w:tblStyle w:val="a4"/>
        <w:tblW w:w="0" w:type="auto"/>
        <w:tblLook w:val="04A0" w:firstRow="1" w:lastRow="0" w:firstColumn="1" w:lastColumn="0" w:noHBand="0" w:noVBand="1"/>
      </w:tblPr>
      <w:tblGrid>
        <w:gridCol w:w="2625"/>
        <w:gridCol w:w="6391"/>
      </w:tblGrid>
      <w:tr w:rsidR="00690717" w:rsidRPr="0049012C" w:rsidTr="0049012C">
        <w:tc>
          <w:tcPr>
            <w:tcW w:w="0" w:type="auto"/>
            <w:hideMark/>
          </w:tcPr>
          <w:p w:rsidR="00690717" w:rsidRPr="0049012C" w:rsidRDefault="0049012C" w:rsidP="0049012C">
            <w:pPr>
              <w:spacing w:after="0"/>
              <w:jc w:val="both"/>
              <w:rPr>
                <w:rFonts w:eastAsia="Times New Roman" w:cs="Calibri"/>
                <w:color w:val="000000"/>
                <w:sz w:val="24"/>
                <w:szCs w:val="24"/>
                <w:lang w:eastAsia="en-GB"/>
              </w:rPr>
            </w:pPr>
            <w:proofErr w:type="spellStart"/>
            <w:r>
              <w:rPr>
                <w:rFonts w:eastAsia="Times New Roman" w:cs="Calibri"/>
                <w:b/>
                <w:bCs/>
                <w:color w:val="000000"/>
                <w:sz w:val="24"/>
                <w:szCs w:val="24"/>
                <w:lang w:eastAsia="en-GB"/>
              </w:rPr>
              <w:t>Άρθρο</w:t>
            </w:r>
            <w:proofErr w:type="spellEnd"/>
            <w:r w:rsidR="00690717" w:rsidRPr="0049012C">
              <w:rPr>
                <w:rFonts w:eastAsia="Times New Roman" w:cs="Calibri"/>
                <w:b/>
                <w:bCs/>
                <w:color w:val="000000"/>
                <w:sz w:val="24"/>
                <w:szCs w:val="24"/>
                <w:lang w:eastAsia="en-GB"/>
              </w:rPr>
              <w:t>:</w:t>
            </w:r>
          </w:p>
        </w:tc>
        <w:tc>
          <w:tcPr>
            <w:tcW w:w="0" w:type="auto"/>
            <w:hideMark/>
          </w:tcPr>
          <w:p w:rsidR="00690717" w:rsidRPr="0049012C" w:rsidRDefault="00690717" w:rsidP="0049012C">
            <w:pPr>
              <w:spacing w:after="0"/>
              <w:jc w:val="both"/>
              <w:rPr>
                <w:rFonts w:eastAsia="Times New Roman" w:cs="Calibri"/>
                <w:color w:val="000000"/>
                <w:sz w:val="24"/>
                <w:szCs w:val="24"/>
                <w:lang w:eastAsia="en-GB"/>
              </w:rPr>
            </w:pPr>
            <w:r w:rsidRPr="0049012C">
              <w:rPr>
                <w:rFonts w:eastAsia="Times New Roman" w:cs="Calibri"/>
                <w:color w:val="000000"/>
                <w:sz w:val="24"/>
                <w:szCs w:val="24"/>
                <w:lang w:eastAsia="en-GB"/>
              </w:rPr>
              <w:t>30</w:t>
            </w:r>
          </w:p>
        </w:tc>
      </w:tr>
      <w:tr w:rsidR="00690717" w:rsidRPr="0049012C" w:rsidTr="0049012C">
        <w:tc>
          <w:tcPr>
            <w:tcW w:w="0" w:type="auto"/>
            <w:hideMark/>
          </w:tcPr>
          <w:p w:rsidR="00690717" w:rsidRPr="0049012C" w:rsidRDefault="00690717" w:rsidP="0049012C">
            <w:pPr>
              <w:spacing w:after="0"/>
              <w:jc w:val="both"/>
              <w:rPr>
                <w:rFonts w:eastAsia="Times New Roman" w:cs="Calibri"/>
                <w:color w:val="000000"/>
                <w:sz w:val="24"/>
                <w:szCs w:val="24"/>
                <w:lang w:eastAsia="en-GB"/>
              </w:rPr>
            </w:pPr>
            <w:proofErr w:type="spellStart"/>
            <w:r w:rsidRPr="0049012C">
              <w:rPr>
                <w:rFonts w:eastAsia="Times New Roman" w:cs="Calibri"/>
                <w:b/>
                <w:bCs/>
                <w:color w:val="000000"/>
                <w:sz w:val="24"/>
                <w:szCs w:val="24"/>
                <w:lang w:eastAsia="en-GB"/>
              </w:rPr>
              <w:t>Ημ</w:t>
            </w:r>
            <w:proofErr w:type="spellEnd"/>
            <w:r w:rsidRPr="0049012C">
              <w:rPr>
                <w:rFonts w:eastAsia="Times New Roman" w:cs="Calibri"/>
                <w:b/>
                <w:bCs/>
                <w:color w:val="000000"/>
                <w:sz w:val="24"/>
                <w:szCs w:val="24"/>
                <w:lang w:eastAsia="en-GB"/>
              </w:rPr>
              <w:t>/</w:t>
            </w:r>
            <w:proofErr w:type="spellStart"/>
            <w:r w:rsidRPr="0049012C">
              <w:rPr>
                <w:rFonts w:eastAsia="Times New Roman" w:cs="Calibri"/>
                <w:b/>
                <w:bCs/>
                <w:color w:val="000000"/>
                <w:sz w:val="24"/>
                <w:szCs w:val="24"/>
                <w:lang w:eastAsia="en-GB"/>
              </w:rPr>
              <w:t>νί</w:t>
            </w:r>
            <w:proofErr w:type="spellEnd"/>
            <w:r w:rsidRPr="0049012C">
              <w:rPr>
                <w:rFonts w:eastAsia="Times New Roman" w:cs="Calibri"/>
                <w:b/>
                <w:bCs/>
                <w:color w:val="000000"/>
                <w:sz w:val="24"/>
                <w:szCs w:val="24"/>
                <w:lang w:eastAsia="en-GB"/>
              </w:rPr>
              <w:t>α:</w:t>
            </w:r>
          </w:p>
        </w:tc>
        <w:tc>
          <w:tcPr>
            <w:tcW w:w="0" w:type="auto"/>
            <w:hideMark/>
          </w:tcPr>
          <w:p w:rsidR="00690717" w:rsidRPr="0049012C" w:rsidRDefault="00690717" w:rsidP="0049012C">
            <w:pPr>
              <w:spacing w:after="0"/>
              <w:jc w:val="both"/>
              <w:rPr>
                <w:rFonts w:eastAsia="Times New Roman" w:cs="Calibri"/>
                <w:color w:val="000000"/>
                <w:sz w:val="24"/>
                <w:szCs w:val="24"/>
                <w:lang w:eastAsia="en-GB"/>
              </w:rPr>
            </w:pPr>
            <w:r w:rsidRPr="0049012C">
              <w:rPr>
                <w:rFonts w:eastAsia="Times New Roman" w:cs="Calibri"/>
                <w:color w:val="000000"/>
                <w:sz w:val="24"/>
                <w:szCs w:val="24"/>
                <w:lang w:eastAsia="en-GB"/>
              </w:rPr>
              <w:t>24.12.2015</w:t>
            </w:r>
          </w:p>
        </w:tc>
      </w:tr>
      <w:tr w:rsidR="00690717" w:rsidRPr="0049012C" w:rsidTr="0049012C">
        <w:tc>
          <w:tcPr>
            <w:tcW w:w="0" w:type="auto"/>
            <w:hideMark/>
          </w:tcPr>
          <w:p w:rsidR="00690717" w:rsidRPr="0049012C" w:rsidRDefault="00690717" w:rsidP="0049012C">
            <w:pPr>
              <w:spacing w:after="0"/>
              <w:jc w:val="both"/>
              <w:rPr>
                <w:rFonts w:eastAsia="Times New Roman" w:cs="Calibri"/>
                <w:color w:val="000000"/>
                <w:sz w:val="24"/>
                <w:szCs w:val="24"/>
                <w:lang w:eastAsia="en-GB"/>
              </w:rPr>
            </w:pPr>
            <w:proofErr w:type="spellStart"/>
            <w:r w:rsidRPr="0049012C">
              <w:rPr>
                <w:rFonts w:eastAsia="Times New Roman" w:cs="Calibri"/>
                <w:b/>
                <w:bCs/>
                <w:color w:val="000000"/>
                <w:sz w:val="24"/>
                <w:szCs w:val="24"/>
                <w:lang w:eastAsia="en-GB"/>
              </w:rPr>
              <w:t>Περιγρ</w:t>
            </w:r>
            <w:proofErr w:type="spellEnd"/>
            <w:r w:rsidRPr="0049012C">
              <w:rPr>
                <w:rFonts w:eastAsia="Times New Roman" w:cs="Calibri"/>
                <w:b/>
                <w:bCs/>
                <w:color w:val="000000"/>
                <w:sz w:val="24"/>
                <w:szCs w:val="24"/>
                <w:lang w:eastAsia="en-GB"/>
              </w:rPr>
              <w:t xml:space="preserve">αφή </w:t>
            </w:r>
            <w:proofErr w:type="spellStart"/>
            <w:r w:rsidRPr="0049012C">
              <w:rPr>
                <w:rFonts w:eastAsia="Times New Roman" w:cs="Calibri"/>
                <w:b/>
                <w:bCs/>
                <w:color w:val="000000"/>
                <w:sz w:val="24"/>
                <w:szCs w:val="24"/>
                <w:lang w:eastAsia="en-GB"/>
              </w:rPr>
              <w:t>όρου</w:t>
            </w:r>
            <w:proofErr w:type="spellEnd"/>
            <w:r w:rsidRPr="0049012C">
              <w:rPr>
                <w:rFonts w:eastAsia="Times New Roman" w:cs="Calibri"/>
                <w:b/>
                <w:bCs/>
                <w:color w:val="000000"/>
                <w:sz w:val="24"/>
                <w:szCs w:val="24"/>
                <w:lang w:eastAsia="en-GB"/>
              </w:rPr>
              <w:t xml:space="preserve"> </w:t>
            </w:r>
            <w:proofErr w:type="spellStart"/>
            <w:r w:rsidRPr="0049012C">
              <w:rPr>
                <w:rFonts w:eastAsia="Times New Roman" w:cs="Calibri"/>
                <w:b/>
                <w:bCs/>
                <w:color w:val="000000"/>
                <w:sz w:val="24"/>
                <w:szCs w:val="24"/>
                <w:lang w:eastAsia="en-GB"/>
              </w:rPr>
              <w:t>θησ</w:t>
            </w:r>
            <w:proofErr w:type="spellEnd"/>
            <w:r w:rsidRPr="0049012C">
              <w:rPr>
                <w:rFonts w:eastAsia="Times New Roman" w:cs="Calibri"/>
                <w:b/>
                <w:bCs/>
                <w:color w:val="000000"/>
                <w:sz w:val="24"/>
                <w:szCs w:val="24"/>
                <w:lang w:eastAsia="en-GB"/>
              </w:rPr>
              <w:t>αυρού:</w:t>
            </w:r>
          </w:p>
        </w:tc>
        <w:tc>
          <w:tcPr>
            <w:tcW w:w="0" w:type="auto"/>
            <w:hideMark/>
          </w:tcPr>
          <w:p w:rsidR="00690717" w:rsidRPr="0049012C" w:rsidRDefault="00690717" w:rsidP="0049012C">
            <w:pPr>
              <w:spacing w:after="0"/>
              <w:jc w:val="both"/>
              <w:rPr>
                <w:rFonts w:eastAsia="Times New Roman" w:cs="Calibri"/>
                <w:color w:val="000000"/>
                <w:sz w:val="24"/>
                <w:szCs w:val="24"/>
                <w:lang w:val="el-GR" w:eastAsia="en-GB"/>
              </w:rPr>
            </w:pPr>
            <w:r w:rsidRPr="0049012C">
              <w:rPr>
                <w:rFonts w:eastAsia="Times New Roman" w:cs="Calibri"/>
                <w:color w:val="000000"/>
                <w:sz w:val="24"/>
                <w:szCs w:val="24"/>
                <w:lang w:val="el-GR" w:eastAsia="en-GB"/>
              </w:rPr>
              <w:t>ΠΟΙΝΙΚΕΣ ΠΑΡΑΒΑΣΕΙΣ ΠΕΡΙ ΕΙΣΟΔΟΥ - ΜΕΤΑΦΟΡΑΣ - ΠΑΡΑΜΟΝΗΣ ΑΛΛΟΔΑΠΩΝ</w:t>
            </w:r>
          </w:p>
        </w:tc>
      </w:tr>
    </w:tbl>
    <w:p w:rsidR="00690717" w:rsidRPr="0049012C" w:rsidRDefault="00690717" w:rsidP="0049012C">
      <w:pPr>
        <w:spacing w:after="0"/>
        <w:jc w:val="both"/>
        <w:rPr>
          <w:rFonts w:eastAsia="Times New Roman" w:cs="Calibri"/>
          <w:vanish/>
          <w:sz w:val="24"/>
          <w:szCs w:val="24"/>
          <w:lang w:val="el-GR" w:eastAsia="en-GB"/>
        </w:rPr>
      </w:pPr>
    </w:p>
    <w:tbl>
      <w:tblPr>
        <w:tblStyle w:val="a4"/>
        <w:tblW w:w="9000" w:type="dxa"/>
        <w:tblLook w:val="04A0" w:firstRow="1" w:lastRow="0" w:firstColumn="1" w:lastColumn="0" w:noHBand="0" w:noVBand="1"/>
      </w:tblPr>
      <w:tblGrid>
        <w:gridCol w:w="9000"/>
      </w:tblGrid>
      <w:tr w:rsidR="00690717" w:rsidRPr="0049012C" w:rsidTr="0049012C">
        <w:tc>
          <w:tcPr>
            <w:tcW w:w="0" w:type="auto"/>
            <w:hideMark/>
          </w:tcPr>
          <w:p w:rsidR="00690717" w:rsidRPr="0049012C" w:rsidRDefault="00690717" w:rsidP="0049012C">
            <w:pPr>
              <w:spacing w:before="100" w:beforeAutospacing="1" w:after="100" w:afterAutospacing="1"/>
              <w:rPr>
                <w:rFonts w:eastAsia="Times New Roman" w:cs="Calibri"/>
                <w:sz w:val="24"/>
                <w:szCs w:val="24"/>
                <w:lang w:val="el-GR" w:eastAsia="en-GB"/>
              </w:rPr>
            </w:pPr>
            <w:r w:rsidRPr="0049012C">
              <w:rPr>
                <w:rFonts w:eastAsia="Times New Roman" w:cs="Calibri"/>
                <w:b/>
                <w:bCs/>
                <w:sz w:val="24"/>
                <w:szCs w:val="24"/>
                <w:lang w:val="el-GR" w:eastAsia="en-GB"/>
              </w:rPr>
              <w:t xml:space="preserve">Τίτλος </w:t>
            </w:r>
            <w:r w:rsidR="0049012C">
              <w:rPr>
                <w:rFonts w:eastAsia="Times New Roman" w:cs="Calibri"/>
                <w:b/>
                <w:bCs/>
                <w:sz w:val="24"/>
                <w:szCs w:val="24"/>
                <w:lang w:val="el-GR" w:eastAsia="en-GB"/>
              </w:rPr>
              <w:t>Άρθρο</w:t>
            </w:r>
            <w:r w:rsidRPr="0049012C">
              <w:rPr>
                <w:rFonts w:eastAsia="Times New Roman" w:cs="Calibri"/>
                <w:b/>
                <w:bCs/>
                <w:sz w:val="24"/>
                <w:szCs w:val="24"/>
                <w:lang w:val="el-GR" w:eastAsia="en-GB"/>
              </w:rPr>
              <w:t>υ</w:t>
            </w:r>
            <w:r w:rsidRPr="0049012C">
              <w:rPr>
                <w:rFonts w:eastAsia="Times New Roman" w:cs="Calibri"/>
                <w:sz w:val="24"/>
                <w:szCs w:val="24"/>
                <w:lang w:val="el-GR" w:eastAsia="en-GB"/>
              </w:rPr>
              <w:br/>
              <w:t>Υποχρεώσεις μεταφορέων - Κυρώσεις</w:t>
            </w:r>
          </w:p>
        </w:tc>
      </w:tr>
      <w:tr w:rsidR="00690717" w:rsidRPr="0049012C" w:rsidTr="0049012C">
        <w:tc>
          <w:tcPr>
            <w:tcW w:w="0" w:type="auto"/>
            <w:hideMark/>
          </w:tcPr>
          <w:p w:rsidR="00690717" w:rsidRPr="0049012C" w:rsidRDefault="00690717"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b/>
                <w:bCs/>
                <w:sz w:val="24"/>
                <w:szCs w:val="24"/>
                <w:lang w:val="el-GR" w:eastAsia="en-GB"/>
              </w:rPr>
              <w:t>Σχόλια</w:t>
            </w:r>
            <w:r w:rsidRPr="0049012C">
              <w:rPr>
                <w:rFonts w:eastAsia="Times New Roman" w:cs="Calibri"/>
                <w:sz w:val="24"/>
                <w:szCs w:val="24"/>
                <w:lang w:val="el-GR" w:eastAsia="en-GB"/>
              </w:rPr>
              <w:br/>
              <w:t>- Η παρ. 9 τίθεται όπως ΑΝΤΙΚΑΤΑΣΤΑΘΗΚΕ με την παρ. 2 του άρθρου πέμπτου του ν. 4268/2014 (Α΄ 141/27.6.2014). - Η παρ. 6 του παρόντος άρθρου τίθεται όπως τροποποιήθηκε και αντικαταστάθηκε με την παρ. 2 του άρθρου 14 του ν. 4332/2015 ΦΕΚ Α 76/9.7.2015. =============================== - Η παρ. 10 του παρόντος άρθρου τίθεται όπως αντικαταστάθηκε με το άρθρο 57 του ν. 4356/2015 (ΦΕΚ Α' 181/24.12.2015).</w:t>
            </w:r>
          </w:p>
        </w:tc>
      </w:tr>
    </w:tbl>
    <w:p w:rsidR="00690717" w:rsidRPr="0049012C" w:rsidRDefault="00690717" w:rsidP="0049012C">
      <w:pPr>
        <w:spacing w:after="0"/>
        <w:jc w:val="both"/>
        <w:rPr>
          <w:rFonts w:eastAsia="Times New Roman" w:cs="Calibri"/>
          <w:sz w:val="24"/>
          <w:szCs w:val="24"/>
          <w:lang w:eastAsia="en-GB"/>
        </w:rPr>
      </w:pPr>
    </w:p>
    <w:p w:rsidR="00690717" w:rsidRPr="0049012C" w:rsidRDefault="00690717" w:rsidP="0049012C">
      <w:pPr>
        <w:spacing w:after="0"/>
        <w:jc w:val="both"/>
        <w:rPr>
          <w:rFonts w:eastAsia="Times New Roman" w:cs="Calibri"/>
          <w:sz w:val="24"/>
          <w:szCs w:val="24"/>
          <w:lang w:eastAsia="en-GB"/>
        </w:rPr>
      </w:pPr>
      <w:proofErr w:type="spellStart"/>
      <w:r w:rsidRPr="0049012C">
        <w:rPr>
          <w:rFonts w:eastAsia="Times New Roman" w:cs="Calibri"/>
          <w:b/>
          <w:bCs/>
          <w:color w:val="000000"/>
          <w:sz w:val="24"/>
          <w:szCs w:val="24"/>
          <w:lang w:eastAsia="en-GB"/>
        </w:rPr>
        <w:t>Κείμενο</w:t>
      </w:r>
      <w:proofErr w:type="spellEnd"/>
      <w:r w:rsidRPr="0049012C">
        <w:rPr>
          <w:rFonts w:eastAsia="Times New Roman" w:cs="Calibri"/>
          <w:b/>
          <w:bCs/>
          <w:color w:val="000000"/>
          <w:sz w:val="24"/>
          <w:szCs w:val="24"/>
          <w:lang w:eastAsia="en-GB"/>
        </w:rPr>
        <w:t xml:space="preserve"> </w:t>
      </w:r>
      <w:proofErr w:type="spellStart"/>
      <w:r w:rsidR="0049012C">
        <w:rPr>
          <w:rFonts w:eastAsia="Times New Roman" w:cs="Calibri"/>
          <w:b/>
          <w:bCs/>
          <w:color w:val="000000"/>
          <w:sz w:val="24"/>
          <w:szCs w:val="24"/>
          <w:lang w:eastAsia="en-GB"/>
        </w:rPr>
        <w:t>Άρθρο</w:t>
      </w:r>
      <w:r w:rsidRPr="0049012C">
        <w:rPr>
          <w:rFonts w:eastAsia="Times New Roman" w:cs="Calibri"/>
          <w:b/>
          <w:bCs/>
          <w:color w:val="000000"/>
          <w:sz w:val="24"/>
          <w:szCs w:val="24"/>
          <w:lang w:eastAsia="en-GB"/>
        </w:rPr>
        <w:t>υ</w:t>
      </w:r>
      <w:proofErr w:type="spellEnd"/>
    </w:p>
    <w:tbl>
      <w:tblPr>
        <w:tblStyle w:val="a4"/>
        <w:tblW w:w="9000" w:type="dxa"/>
        <w:tblLook w:val="04A0" w:firstRow="1" w:lastRow="0" w:firstColumn="1" w:lastColumn="0" w:noHBand="0" w:noVBand="1"/>
      </w:tblPr>
      <w:tblGrid>
        <w:gridCol w:w="9000"/>
      </w:tblGrid>
      <w:tr w:rsidR="00690717" w:rsidRPr="0049012C" w:rsidTr="0049012C">
        <w:tc>
          <w:tcPr>
            <w:tcW w:w="0" w:type="auto"/>
            <w:hideMark/>
          </w:tcPr>
          <w:p w:rsidR="00690717" w:rsidRPr="0049012C" w:rsidRDefault="00690717"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 xml:space="preserve">1. Πλοίαρχοι ή κυβερνήτες πλοίου, πλωτού μέσου ή αεροπλάνου και οδηγοί κάθε είδους μεταφορικού μέσου που μεταφέρουν από το εξωτερικό στην Ελλάδα πολίτες τρίτων χωρών, που δεν έχουν δικαίωμα εισόδου στο ελληνικό έδαφος ή στους οποίους έχει απαγορευθεί η είσοδος για οποιαδήποτε αιτία, καθώς και αυτοί που τους παραλαμβάνουν από τα σημεία εισόδου, τα εξωτερικά ή εσωτερικά σύνορα, για να τους προωθήσουν στο εσωτερικό της χώρας ή στο έδαφος κράτους - μέλους της Ε.Ε. ή τρίτης χώρας ή διευκολύνουν τη μεταφορά τους ή εξασφαλίζουν σε αυτούς κατάλυμα για απόκρυψη, τιμωρούνται: α. με κάθειρξη μέχρι δέκα (10) ετών και χρηματική ποινή δέκα χιλιάδων (10.000) έως τριάντα χιλιάδων (30.000) ευρώ για κάθε μεταφερόμενο πρόσωπο, β. με κάθειρξη τουλάχιστον δέκα (10) ετών και χρηματική ποινή τριάντα χιλιάδων (30.000) έως εξήντα χιλιάδων (60.000) ευρώ για κάθε μεταφερόμενο πρόσωπο, αν ο υπαίτιος ενεργεί εκ κερδοσκοπίας, κατ' επάγγελμα ή κατά συνήθεια ή είναι υπότροπος ή έχει την ιδιότητα του δημοσίου υπαλλήλου ή τουριστικού ή ναυτιλιακού ή ταξιδιωτικού πράκτορα ή αν δύο ή περισσότεροι ενεργούν από κοινού, γ. με κάθειρξη τουλάχιστον δεκαπέντε (15) ετών και χρηματική ποινή τουλάχιστον διακοσίων χιλιάδων (200.000) ευρώ για κάθε μεταφερόμενο πρόσωπο, αν από την πράξη μπορεί να προκύψει κίνδυνος για άνθρωπο, </w:t>
            </w:r>
            <w:r w:rsidRPr="0049012C">
              <w:rPr>
                <w:rFonts w:eastAsia="Times New Roman" w:cs="Calibri"/>
                <w:sz w:val="24"/>
                <w:szCs w:val="24"/>
                <w:lang w:val="el-GR" w:eastAsia="en-GB"/>
              </w:rPr>
              <w:lastRenderedPageBreak/>
              <w:t>δ. με ισόβια κάθειρξη και χρηματική ποινή τουλάχιστον επτακοσίων χιλιάδων (700.000) ευρώ για κάθε μεταφερόμενο πρόσωπο, αν στην περίπτωση γ' επήλθε θάνατος.</w:t>
            </w:r>
          </w:p>
          <w:p w:rsidR="00690717" w:rsidRPr="0049012C" w:rsidRDefault="00690717"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 xml:space="preserve">2. Πλοίαρχοι ή κυβερνήτες πλοίου, πλωτού μέσου ή αεροπλάνου και οδηγοί κάθε είδους μεταφορικού μέσου υποχρεούνται να μη δέχονται για μεταφορά πρόσωπα, τα οποία δεν είναι εφοδιασμένα με τα απαιτούμενα ταξιδιωτικά έγγραφα ή δεν έχουν υποστεί τον κανονικό αστυνομικό έλεγχο. Οι παραβάτες τιμωρούνται σύμφωνα με τις διατάξεις της παραγράφου 1 του άρθρου αυτού. Η ανωτέρω αξιόποινη πράξη θεωρείται τετελεσμένη, προκειμένου μεν για θαλάσσια και εναέρια μεταφορικά μέσα, εφόσον το πρόσωπο που επιβιβάσθηκε </w:t>
            </w:r>
            <w:proofErr w:type="spellStart"/>
            <w:r w:rsidRPr="0049012C">
              <w:rPr>
                <w:rFonts w:eastAsia="Times New Roman" w:cs="Calibri"/>
                <w:sz w:val="24"/>
                <w:szCs w:val="24"/>
                <w:lang w:val="el-GR" w:eastAsia="en-GB"/>
              </w:rPr>
              <w:t>λαθραίως</w:t>
            </w:r>
            <w:proofErr w:type="spellEnd"/>
            <w:r w:rsidRPr="0049012C">
              <w:rPr>
                <w:rFonts w:eastAsia="Times New Roman" w:cs="Calibri"/>
                <w:sz w:val="24"/>
                <w:szCs w:val="24"/>
                <w:lang w:val="el-GR" w:eastAsia="en-GB"/>
              </w:rPr>
              <w:t xml:space="preserve"> βρίσκεται μέσα σε αυτά κατά την έναρξη του ελέγχου από τα αρμόδια κρατικά όργανα προ του απόπλου ή της απογείωσης ή μετά τον απόπλου του πλοίου ή την απογείωση του αεροπλάνου, προκειμένου δε για άλλα μεταφορικά μέσα, εφόσον το πρόσωπο που αναχωρεί </w:t>
            </w:r>
            <w:proofErr w:type="spellStart"/>
            <w:r w:rsidRPr="0049012C">
              <w:rPr>
                <w:rFonts w:eastAsia="Times New Roman" w:cs="Calibri"/>
                <w:sz w:val="24"/>
                <w:szCs w:val="24"/>
                <w:lang w:val="el-GR" w:eastAsia="en-GB"/>
              </w:rPr>
              <w:t>λαθραίως</w:t>
            </w:r>
            <w:proofErr w:type="spellEnd"/>
            <w:r w:rsidRPr="0049012C">
              <w:rPr>
                <w:rFonts w:eastAsia="Times New Roman" w:cs="Calibri"/>
                <w:sz w:val="24"/>
                <w:szCs w:val="24"/>
                <w:lang w:val="el-GR" w:eastAsia="en-GB"/>
              </w:rPr>
              <w:t xml:space="preserve"> βρίσκεται μέσα σε αυτά κατά τον τελευταίο έλεγχο εξόδου ή πλησίον των συνόρων. Οι κυρώσεις της παραγράφου 3 του παρόντος εφαρμόζονται και στα πρόσωπα που αναφέρονται στην παράγραφο αυτή.</w:t>
            </w:r>
          </w:p>
          <w:p w:rsidR="00690717" w:rsidRPr="0049012C" w:rsidRDefault="00690717"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3. Αεροπορικές ή ναυτιλιακές εταιρείες, καθώς και κάθε άλλο φυσικό ή νομικό πρόσωπο που εκτελεί οποιασδήποτε μορφής δημόσια μεταφορά προσώπων υποχρεούνται να μη δέχονται για μεταφορά και να λαμβάνουν κάθε μέτρο που να αποκλείει τη μεταφορά από το εξωτερικό στην Ελλάδα πολιτών τρίτων χωρών που: α) δεν είναι εφοδιασμένοι με τα απαραίτητα εν ισχύ διαβατήρια ή άλλα ταξιδιωτικά έγγραφα και θεώρηση εισόδου όπου απαιτείται ή β) κατέχουν διαβατήρια ή άλλα ταξιδιωτικά έγγραφα με ενδείξεις πλαστογράφησης ή παραποίησης. Στις αεροπορικές εταιρίες που παραβαίνουν τις παραπάνω υποχρεώσεις επιβάλλεται χρηματικό πρόστιμο από πέντε χιλιάδες (5.000) ευρώ έως τριάντα χιλιάδες (30.000) ευρώ για κάθε μεταφερόμενο πρόσωπο με απόφαση αερολιμενάρχη. Στις ναυτιλιακές εταιρίες, καθώς και σε κάθε άλλο φυσικό ή νομικό πρόσωπο, το ίδιο πρόστιμο επιβάλλεται με απόφαση του Γενικού Γραμματέα της Αποκεντρωμένης Διοίκησης. Σε περίπτωση υποτροπής εντός του ίδιου ημερολογιακού έτους, τα ανωτέρω πρόστιμα μπορεί να προσαυξάνονται στο διπλάσιο και πάντως όχι πέραν του ποσού των τριάντα χιλιάδων (30.000) ευρώ, με απόφαση του κατά περίπτωση αρμόδιου οργάνου. Πρόστιμο δεν επιβάλλεται στις εταιρείες, οι οποίες μπορούν να αποδείξουν τεκμηριωμένα ότι έχουν λάβει επαρκή προληπτικά μέτρα για να διασφαλίσουν ότι οι επιβαίνοντες πολίτες τρίτων χωρών δεν εμπίπτουν στις προαναφερθείσες περιπτώσεις α' και β' της παρούσας παραγράφου.</w:t>
            </w:r>
          </w:p>
          <w:p w:rsidR="00690717" w:rsidRPr="0049012C" w:rsidRDefault="00690717"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 xml:space="preserve">4. Τα πρόσωπα που αναφέρονται στις παραγράφους 1, 2 και 3, καθώς και ταξιδιωτικά γραφεία και οι ιδιοκτήτες των μεταφορικών μέσων ευθύνονται εις </w:t>
            </w:r>
            <w:proofErr w:type="spellStart"/>
            <w:r w:rsidRPr="0049012C">
              <w:rPr>
                <w:rFonts w:eastAsia="Times New Roman" w:cs="Calibri"/>
                <w:sz w:val="24"/>
                <w:szCs w:val="24"/>
                <w:lang w:val="el-GR" w:eastAsia="en-GB"/>
              </w:rPr>
              <w:t>ολόκληρον</w:t>
            </w:r>
            <w:proofErr w:type="spellEnd"/>
            <w:r w:rsidRPr="0049012C">
              <w:rPr>
                <w:rFonts w:eastAsia="Times New Roman" w:cs="Calibri"/>
                <w:sz w:val="24"/>
                <w:szCs w:val="24"/>
                <w:lang w:val="el-GR" w:eastAsia="en-GB"/>
              </w:rPr>
              <w:t xml:space="preserve"> για τις δαπάνες διαβίωσης και τα έξοδα </w:t>
            </w:r>
            <w:proofErr w:type="spellStart"/>
            <w:r w:rsidRPr="0049012C">
              <w:rPr>
                <w:rFonts w:eastAsia="Times New Roman" w:cs="Calibri"/>
                <w:sz w:val="24"/>
                <w:szCs w:val="24"/>
                <w:lang w:val="el-GR" w:eastAsia="en-GB"/>
              </w:rPr>
              <w:t>επαναπροώθησης</w:t>
            </w:r>
            <w:proofErr w:type="spellEnd"/>
            <w:r w:rsidRPr="0049012C">
              <w:rPr>
                <w:rFonts w:eastAsia="Times New Roman" w:cs="Calibri"/>
                <w:sz w:val="24"/>
                <w:szCs w:val="24"/>
                <w:lang w:val="el-GR" w:eastAsia="en-GB"/>
              </w:rPr>
              <w:t xml:space="preserve"> των ανωτέρω προσώπων στο εξωτερικό. Την ίδια ευθύνη έχουν και όσοι εγγυήθηκαν τον επαναπατρισμό πολίτη τρίτης χώρας, αν παραβιάσθηκαν όροι εισόδου ή διαμονής του στη χώρα. Η διαδικασία βεβαίωσης και καταβολής του ανωτέρω προστίμου ενεργείται σύμφωνα με τις διατάξεις του Κώδικα Εισπράξεως Δημοσίων Εσόδων.</w:t>
            </w:r>
          </w:p>
          <w:p w:rsidR="00690717" w:rsidRPr="0049012C" w:rsidRDefault="00690717"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 xml:space="preserve">5. Τα πρόσωπα που αναφέρονται στο πρώτο εδάφιο της παραγράφου 1 ή οι ιδιοκτήτες των μεταφορικών μέσων ή οι αντιπρόσωποι αυτών στην Ελλάδα υποχρεούνται αμέσως μετά την άφιξη του μεταφορικού μέσου να παραδίδουν στις υπηρεσίες του αστυνομικού ελέγχου διαβατηρίων δελτία άφιξης ή καταστάσεις των επιβατών που είναι πολίτες τρίτων </w:t>
            </w:r>
            <w:r w:rsidRPr="0049012C">
              <w:rPr>
                <w:rFonts w:eastAsia="Times New Roman" w:cs="Calibri"/>
                <w:sz w:val="24"/>
                <w:szCs w:val="24"/>
                <w:lang w:val="el-GR" w:eastAsia="en-GB"/>
              </w:rPr>
              <w:lastRenderedPageBreak/>
              <w:t>χωρών, τους οποίους μεταφέρουν και προορίζουν για την Ελλάδα και αντίστροφα. Την ίδια υποχρέωση έχουν κατά την άφιξη αεροπλάνων μη τακτικών πτήσεων από τρίτες χώρες. Με απόφαση του Υπουργού Δημόσιας Τάξης και Προστασίας του Πολίτη καθορίζονται τα στοιχεία των ανωτέρω δελτίων ή καταστάσεων.</w:t>
            </w:r>
          </w:p>
          <w:p w:rsidR="00690717" w:rsidRPr="0049012C" w:rsidRDefault="00690717"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«6. Οι ανωτέρω κυρώσεις δεν επιβάλλονται στις περιπτώσεις διάσωσης ανθρώπων στη θάλασσα, της μεταφοράς ανθρώπων που χρήζουν διεθνούς προστασίας, κατά τις επιταγές του διεθνούς δικαίου, καθώς και στις περιπτώσεις προώθησης στο εσωτερικό της χώρας ή διευκόλυνσης της μεταφοράς, προς το σκοπό υπαγωγής στις διαδικασίες των άρθρων 83 του Ν. 3386/2005 ή του άρθρου 13 του Ν. 3907/2011, κατόπιν ενημέρωσης των αρμοδίων αστυνομικών και λιμενικών αρχών.»</w:t>
            </w:r>
          </w:p>
          <w:p w:rsidR="00690717" w:rsidRPr="0049012C" w:rsidRDefault="00690717"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7. Οι διατάξεις του άρθρου 253Α του Κ.Π.Δ. εφαρμόζονται και για τις αξιόποινες πράξεις που προβλέπονται από τις διατάξεις του άρθρου 29 και του παρόντος άρθρου, ανεξάρτητα αν συντρέχουν οι προϋποθέσεις των άρθρων 187 και 187Α του Π.Κ..</w:t>
            </w:r>
          </w:p>
          <w:p w:rsidR="00690717" w:rsidRPr="0049012C" w:rsidRDefault="00690717"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8. Η προθεσμία για την άσκηση της έφεσης και η άσκησή της κατά της καταδικαστικής απόφασης για παραβάσεις του παρόντος άρθρου, καθώς και των παραγράφων 5, 6 και 8 του προηγούμενου άρθρου, δεν αναστέλλουν την εκτέλεση της απόφασης.</w:t>
            </w:r>
          </w:p>
          <w:p w:rsidR="00690717" w:rsidRPr="0049012C" w:rsidRDefault="00690717"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«9. Για την εκδίκαση των κακουργημάτων που προβλέπονται στην παράγραφο 1, εκτός από αυτό της περίπτωσης δ', καθώς και στο άρθρο 29, αρμόδιο είναι το Μονομελές Εφετείο και εφαρμόζεται η διαδικασία που προβλέπεται στο άρθρο 308Α του Κώδικα Ποινικής Δικονομίας.»</w:t>
            </w:r>
          </w:p>
          <w:p w:rsidR="00690717" w:rsidRPr="0049012C" w:rsidRDefault="00690717"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 xml:space="preserve">«10. Περιουσία που αποτελεί προϊόν της εγκληματικής δραστηριότητας του παρόντος άρθρου, καθώς και των παραγράφων 5, 6 και 8 του άρθρου 29 ή που αποκτήθηκε με οποιονδήποτε τρόπο από προϊόν τέτοιας εγκληματικής δραστηριότητας ή περιουσία που χρησιμοποιήθηκε, εν </w:t>
            </w:r>
            <w:proofErr w:type="spellStart"/>
            <w:r w:rsidRPr="0049012C">
              <w:rPr>
                <w:rFonts w:eastAsia="Times New Roman" w:cs="Calibri"/>
                <w:sz w:val="24"/>
                <w:szCs w:val="24"/>
                <w:lang w:val="el-GR" w:eastAsia="en-GB"/>
              </w:rPr>
              <w:t>όλω</w:t>
            </w:r>
            <w:proofErr w:type="spellEnd"/>
            <w:r w:rsidRPr="0049012C">
              <w:rPr>
                <w:rFonts w:eastAsia="Times New Roman" w:cs="Calibri"/>
                <w:sz w:val="24"/>
                <w:szCs w:val="24"/>
                <w:lang w:val="el-GR" w:eastAsia="en-GB"/>
              </w:rPr>
              <w:t xml:space="preserve"> ή εν μέρει, ή προορίζονταν να χρησιμοποιηθεί για την εκτέλεση της παραπάνω εγκληματικής δραστηριότητας κατάσχεται και μπορεί να δημευθεί με την καταδικαστική απόφαση, αν ανήκει στον αυτουργό ή σε οποιονδήποτε από τους </w:t>
            </w:r>
            <w:proofErr w:type="spellStart"/>
            <w:r w:rsidRPr="0049012C">
              <w:rPr>
                <w:rFonts w:eastAsia="Times New Roman" w:cs="Calibri"/>
                <w:sz w:val="24"/>
                <w:szCs w:val="24"/>
                <w:lang w:val="el-GR" w:eastAsia="en-GB"/>
              </w:rPr>
              <w:t>συμμετόχους</w:t>
            </w:r>
            <w:proofErr w:type="spellEnd"/>
            <w:r w:rsidRPr="0049012C">
              <w:rPr>
                <w:rFonts w:eastAsia="Times New Roman" w:cs="Calibri"/>
                <w:sz w:val="24"/>
                <w:szCs w:val="24"/>
                <w:lang w:val="el-GR" w:eastAsia="en-GB"/>
              </w:rPr>
              <w:t>. Αν το δικαστήριο, αυτεπαγγέλτως ή μετά από αίτημα διαδίκου ή τρίτου, κρίνει ότι η δήμευση που θα επιβληθεί στον καταδικασθέντα θα αποστερήσει τον ίδιο ή τρίτους, ιδίως την οικογένειά του, από πράγμα που εξυπηρετεί τον αναγκαίο βιοπορισμό τους και ότι υπάρχει κίνδυνος να προκληθεί σε αυτούς υπέρμετρη και ανεπανόρθωτη βλάβη, δεν επιβάλλει αυτήν. Η απόδοση περιουσίας στον ιδιοκτήτη της γίνεται σύμφωνα με τα άρθρα 310 παράγραφος 2 και 373 του Κώδικα Ποινικής Δικονομίας. Σε περίπτωση που η περιουσία ή το προϊόν κατά το πρώτο εδάφιο υπερβαίνει τις τέσσερις χιλιάδες (4.000) ευρώ και δεν είναι δυνατόν να κατασχεθεί, κατάσχονται και δημεύονται υπό τους όρους του ίδιου εδαφίου περιουσιακά στοιχεία ίσης αξίας προς εκείνη της προαναφερθείσας περιουσίας ή του προϊόντος.»</w:t>
            </w:r>
          </w:p>
          <w:p w:rsidR="00690717" w:rsidRPr="0049012C" w:rsidRDefault="00690717" w:rsidP="0049012C">
            <w:pPr>
              <w:spacing w:before="100" w:beforeAutospacing="1" w:after="100" w:afterAutospacing="1"/>
              <w:jc w:val="both"/>
              <w:rPr>
                <w:rFonts w:eastAsia="Times New Roman" w:cs="Calibri"/>
                <w:sz w:val="24"/>
                <w:szCs w:val="24"/>
                <w:lang w:val="el-GR" w:eastAsia="en-GB"/>
              </w:rPr>
            </w:pPr>
            <w:r w:rsidRPr="0049012C">
              <w:rPr>
                <w:rFonts w:eastAsia="Times New Roman" w:cs="Calibri"/>
                <w:sz w:val="24"/>
                <w:szCs w:val="24"/>
                <w:lang w:val="el-GR" w:eastAsia="en-GB"/>
              </w:rPr>
              <w:t xml:space="preserve">11. Οι διατάξεις του παρόντος άρθρου και των παραγράφων 5, 6 και 8 του άρθρου 29 εφαρμόζονται και όταν οι προβλεπόμενες σε αυτά αξιόποινες πράξεις </w:t>
            </w:r>
            <w:proofErr w:type="spellStart"/>
            <w:r w:rsidRPr="0049012C">
              <w:rPr>
                <w:rFonts w:eastAsia="Times New Roman" w:cs="Calibri"/>
                <w:sz w:val="24"/>
                <w:szCs w:val="24"/>
                <w:lang w:val="el-GR" w:eastAsia="en-GB"/>
              </w:rPr>
              <w:t>τελέσθηκαν</w:t>
            </w:r>
            <w:proofErr w:type="spellEnd"/>
            <w:r w:rsidRPr="0049012C">
              <w:rPr>
                <w:rFonts w:eastAsia="Times New Roman" w:cs="Calibri"/>
                <w:sz w:val="24"/>
                <w:szCs w:val="24"/>
                <w:lang w:val="el-GR" w:eastAsia="en-GB"/>
              </w:rPr>
              <w:t xml:space="preserve"> στην αλλοδαπή από ημεδαπό ή αλλοδαπό ακόμη και αν αυτές δεν είναι αξιόποινες κατά τους νόμους της χώρας στην οποία </w:t>
            </w:r>
            <w:proofErr w:type="spellStart"/>
            <w:r w:rsidRPr="0049012C">
              <w:rPr>
                <w:rFonts w:eastAsia="Times New Roman" w:cs="Calibri"/>
                <w:sz w:val="24"/>
                <w:szCs w:val="24"/>
                <w:lang w:val="el-GR" w:eastAsia="en-GB"/>
              </w:rPr>
              <w:t>τελέσθηκαν</w:t>
            </w:r>
            <w:proofErr w:type="spellEnd"/>
            <w:r w:rsidRPr="0049012C">
              <w:rPr>
                <w:rFonts w:eastAsia="Times New Roman" w:cs="Calibri"/>
                <w:sz w:val="24"/>
                <w:szCs w:val="24"/>
                <w:lang w:val="el-GR" w:eastAsia="en-GB"/>
              </w:rPr>
              <w:t>.</w:t>
            </w:r>
          </w:p>
        </w:tc>
      </w:tr>
    </w:tbl>
    <w:p w:rsidR="00690717" w:rsidRPr="0049012C" w:rsidRDefault="00690717" w:rsidP="0049012C">
      <w:pPr>
        <w:jc w:val="both"/>
        <w:rPr>
          <w:rFonts w:cs="Calibri"/>
          <w:sz w:val="24"/>
          <w:szCs w:val="24"/>
          <w:lang w:val="el-GR"/>
        </w:rPr>
      </w:pPr>
    </w:p>
    <w:sectPr w:rsidR="00690717" w:rsidRPr="0049012C"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17"/>
    <w:rsid w:val="001E6AD2"/>
    <w:rsid w:val="00313E70"/>
    <w:rsid w:val="0049012C"/>
    <w:rsid w:val="00690717"/>
    <w:rsid w:val="00CC4650"/>
    <w:rsid w:val="00D90B65"/>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FC61"/>
  <w15:chartTrackingRefBased/>
  <w15:docId w15:val="{0D7C795C-495A-4641-AAEE-626787F9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90717"/>
  </w:style>
  <w:style w:type="character" w:styleId="a3">
    <w:name w:val="Strong"/>
    <w:basedOn w:val="a0"/>
    <w:uiPriority w:val="22"/>
    <w:qFormat/>
    <w:rsid w:val="00690717"/>
    <w:rPr>
      <w:b/>
      <w:bCs/>
    </w:rPr>
  </w:style>
  <w:style w:type="paragraph" w:styleId="Web">
    <w:name w:val="Normal (Web)"/>
    <w:basedOn w:val="a"/>
    <w:uiPriority w:val="99"/>
    <w:unhideWhenUsed/>
    <w:rsid w:val="00690717"/>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4901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6855">
      <w:bodyDiv w:val="1"/>
      <w:marLeft w:val="0"/>
      <w:marRight w:val="0"/>
      <w:marTop w:val="0"/>
      <w:marBottom w:val="0"/>
      <w:divBdr>
        <w:top w:val="none" w:sz="0" w:space="0" w:color="auto"/>
        <w:left w:val="none" w:sz="0" w:space="0" w:color="auto"/>
        <w:bottom w:val="none" w:sz="0" w:space="0" w:color="auto"/>
        <w:right w:val="none" w:sz="0" w:space="0" w:color="auto"/>
      </w:divBdr>
    </w:div>
    <w:div w:id="523787734">
      <w:bodyDiv w:val="1"/>
      <w:marLeft w:val="0"/>
      <w:marRight w:val="0"/>
      <w:marTop w:val="0"/>
      <w:marBottom w:val="0"/>
      <w:divBdr>
        <w:top w:val="none" w:sz="0" w:space="0" w:color="auto"/>
        <w:left w:val="none" w:sz="0" w:space="0" w:color="auto"/>
        <w:bottom w:val="none" w:sz="0" w:space="0" w:color="auto"/>
        <w:right w:val="none" w:sz="0" w:space="0" w:color="auto"/>
      </w:divBdr>
    </w:div>
    <w:div w:id="79842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2243</Words>
  <Characters>12118</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user1</cp:lastModifiedBy>
  <cp:revision>3</cp:revision>
  <dcterms:created xsi:type="dcterms:W3CDTF">2025-02-27T08:40:00Z</dcterms:created>
  <dcterms:modified xsi:type="dcterms:W3CDTF">2025-02-28T12:12:00Z</dcterms:modified>
</cp:coreProperties>
</file>