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171" w:rsidRPr="00AE45C6" w:rsidRDefault="00766171" w:rsidP="00AE45C6">
      <w:pPr>
        <w:spacing w:after="0" w:line="240" w:lineRule="auto"/>
        <w:jc w:val="center"/>
        <w:textAlignment w:val="baseline"/>
        <w:outlineLvl w:val="0"/>
        <w:rPr>
          <w:rFonts w:asciiTheme="minorHAnsi" w:eastAsia="Times New Roman" w:hAnsiTheme="minorHAnsi" w:cstheme="minorHAnsi"/>
          <w:b/>
          <w:color w:val="000000" w:themeColor="text1"/>
          <w:kern w:val="36"/>
          <w:sz w:val="24"/>
          <w:szCs w:val="24"/>
          <w:lang w:eastAsia="el-GR"/>
        </w:rPr>
      </w:pPr>
      <w:r w:rsidRPr="00AE45C6">
        <w:rPr>
          <w:rFonts w:asciiTheme="minorHAnsi" w:eastAsia="Times New Roman" w:hAnsiTheme="minorHAnsi" w:cstheme="minorHAnsi"/>
          <w:b/>
          <w:color w:val="000000" w:themeColor="text1"/>
          <w:kern w:val="36"/>
          <w:sz w:val="24"/>
          <w:szCs w:val="24"/>
          <w:lang w:eastAsia="el-GR"/>
        </w:rPr>
        <w:t>Υπουργική Απόφαση Δ22/οικ.11828/293/2017 - ΦΕΚ 1157/Β/4-4-2017</w:t>
      </w:r>
    </w:p>
    <w:p w:rsidR="00AE45C6" w:rsidRDefault="00AE45C6" w:rsidP="00AE45C6">
      <w:pPr>
        <w:spacing w:after="0" w:line="240" w:lineRule="auto"/>
        <w:jc w:val="both"/>
        <w:textAlignment w:val="baseline"/>
        <w:rPr>
          <w:rFonts w:asciiTheme="minorHAnsi" w:eastAsia="Times New Roman" w:hAnsiTheme="minorHAnsi" w:cstheme="minorHAnsi"/>
          <w:b/>
          <w:bCs/>
          <w:color w:val="000000" w:themeColor="text1"/>
          <w:sz w:val="24"/>
          <w:szCs w:val="24"/>
          <w:lang w:eastAsia="el-GR"/>
        </w:rPr>
      </w:pPr>
    </w:p>
    <w:p w:rsidR="00766171" w:rsidRPr="00AE45C6" w:rsidRDefault="00766171" w:rsidP="00AE45C6">
      <w:pPr>
        <w:spacing w:after="0" w:line="240" w:lineRule="auto"/>
        <w:jc w:val="both"/>
        <w:textAlignment w:val="baseline"/>
        <w:rPr>
          <w:rFonts w:asciiTheme="minorHAnsi" w:eastAsia="Times New Roman" w:hAnsiTheme="minorHAnsi" w:cstheme="minorHAnsi"/>
          <w:b/>
          <w:bCs/>
          <w:color w:val="000000" w:themeColor="text1"/>
          <w:sz w:val="24"/>
          <w:szCs w:val="24"/>
          <w:lang w:eastAsia="el-GR"/>
        </w:rPr>
      </w:pPr>
      <w:r w:rsidRPr="00AE45C6">
        <w:rPr>
          <w:rFonts w:asciiTheme="minorHAnsi" w:eastAsia="Times New Roman" w:hAnsiTheme="minorHAnsi" w:cstheme="minorHAnsi"/>
          <w:b/>
          <w:bCs/>
          <w:color w:val="000000" w:themeColor="text1"/>
          <w:sz w:val="24"/>
          <w:szCs w:val="24"/>
          <w:lang w:eastAsia="el-GR"/>
        </w:rPr>
        <w:t>Καθορισμός προϋποθέσεων για άδεια ίδρυσης και λειτουργίας Μονάδων Φροντίδας, Προσχολικής Αγωγής και Διαπαιδαγώγησης (Βρεφικών - Παιδικών - Βρεφονηπιακών Σταθμών, Μονάδων Απασχόλησης βρεφών και νηπίων) από φορείς Ιδιωτικού Δικαίου, κερδοσκοπικού</w:t>
      </w:r>
    </w:p>
    <w:p w:rsidR="00766171" w:rsidRPr="00AE45C6" w:rsidRDefault="00766171" w:rsidP="00AE45C6">
      <w:pPr>
        <w:pStyle w:val="Web"/>
        <w:spacing w:before="0" w:beforeAutospacing="0" w:after="0" w:afterAutospacing="0"/>
        <w:jc w:val="both"/>
        <w:textAlignment w:val="baseline"/>
        <w:rPr>
          <w:rStyle w:val="a3"/>
          <w:rFonts w:asciiTheme="minorHAnsi" w:hAnsiTheme="minorHAnsi" w:cstheme="minorHAnsi"/>
          <w:color w:val="000000" w:themeColor="text1"/>
          <w:bdr w:val="none" w:sz="0" w:space="0" w:color="auto" w:frame="1"/>
        </w:rPr>
      </w:pPr>
    </w:p>
    <w:p w:rsidR="00766171" w:rsidRPr="00AE45C6" w:rsidRDefault="00766171" w:rsidP="00AE45C6">
      <w:pPr>
        <w:pStyle w:val="Web"/>
        <w:spacing w:before="0" w:beforeAutospacing="0" w:after="0" w:afterAutospacing="0"/>
        <w:jc w:val="both"/>
        <w:textAlignment w:val="baseline"/>
        <w:rPr>
          <w:rFonts w:asciiTheme="minorHAnsi" w:hAnsiTheme="minorHAnsi" w:cstheme="minorHAnsi"/>
          <w:color w:val="000000" w:themeColor="text1"/>
        </w:rPr>
      </w:pPr>
      <w:r w:rsidRPr="00AE45C6">
        <w:rPr>
          <w:rStyle w:val="a3"/>
          <w:rFonts w:asciiTheme="minorHAnsi" w:hAnsiTheme="minorHAnsi" w:cstheme="minorHAnsi"/>
          <w:color w:val="000000" w:themeColor="text1"/>
          <w:bdr w:val="none" w:sz="0" w:space="0" w:color="auto" w:frame="1"/>
        </w:rPr>
        <w:t>Άρθρο 15</w:t>
      </w:r>
    </w:p>
    <w:p w:rsidR="00766171" w:rsidRPr="00AE45C6" w:rsidRDefault="00766171" w:rsidP="00AE45C6">
      <w:pPr>
        <w:pStyle w:val="Web"/>
        <w:spacing w:before="0" w:beforeAutospacing="0" w:after="0" w:afterAutospacing="0"/>
        <w:jc w:val="both"/>
        <w:textAlignment w:val="baseline"/>
        <w:rPr>
          <w:rFonts w:asciiTheme="minorHAnsi" w:hAnsiTheme="minorHAnsi" w:cstheme="minorHAnsi"/>
          <w:color w:val="000000" w:themeColor="text1"/>
        </w:rPr>
      </w:pPr>
      <w:r w:rsidRPr="00AE45C6">
        <w:rPr>
          <w:rStyle w:val="a3"/>
          <w:rFonts w:asciiTheme="minorHAnsi" w:hAnsiTheme="minorHAnsi" w:cstheme="minorHAnsi"/>
          <w:color w:val="000000" w:themeColor="text1"/>
          <w:bdr w:val="none" w:sz="0" w:space="0" w:color="auto" w:frame="1"/>
        </w:rPr>
        <w:t>Κυρώσεις</w:t>
      </w:r>
    </w:p>
    <w:p w:rsidR="00766171" w:rsidRPr="00AE45C6" w:rsidRDefault="00766171" w:rsidP="00AE45C6">
      <w:pPr>
        <w:pStyle w:val="Web"/>
        <w:spacing w:before="0" w:beforeAutospacing="0" w:after="0" w:afterAutospacing="0"/>
        <w:jc w:val="both"/>
        <w:textAlignment w:val="baseline"/>
        <w:rPr>
          <w:rFonts w:asciiTheme="minorHAnsi" w:hAnsiTheme="minorHAnsi" w:cstheme="minorHAnsi"/>
          <w:color w:val="000000" w:themeColor="text1"/>
        </w:rPr>
      </w:pPr>
      <w:r w:rsidRPr="00AE45C6">
        <w:rPr>
          <w:rFonts w:asciiTheme="minorHAnsi" w:hAnsiTheme="minorHAnsi" w:cstheme="minorHAnsi"/>
          <w:color w:val="000000" w:themeColor="text1"/>
        </w:rPr>
        <w:t>1. Εάν διαπιστωθεί λειτουργία χωρίς άδεια Μονάδας Φ.Π.Α.Δ. εφαρμόζονται ανάλογα οι κυρώσεις του άρθρου 1</w:t>
      </w:r>
    </w:p>
    <w:p w:rsidR="00766171" w:rsidRPr="00AE45C6" w:rsidRDefault="00766171" w:rsidP="00AE45C6">
      <w:pPr>
        <w:pStyle w:val="Web"/>
        <w:spacing w:before="0" w:beforeAutospacing="0" w:after="0" w:afterAutospacing="0"/>
        <w:jc w:val="both"/>
        <w:textAlignment w:val="baseline"/>
        <w:rPr>
          <w:rFonts w:asciiTheme="minorHAnsi" w:hAnsiTheme="minorHAnsi" w:cstheme="minorHAnsi"/>
          <w:color w:val="000000" w:themeColor="text1"/>
        </w:rPr>
      </w:pPr>
      <w:r w:rsidRPr="00AE45C6">
        <w:rPr>
          <w:rFonts w:asciiTheme="minorHAnsi" w:hAnsiTheme="minorHAnsi" w:cstheme="minorHAnsi"/>
          <w:color w:val="000000" w:themeColor="text1"/>
        </w:rPr>
        <w:t>του ν. </w:t>
      </w:r>
      <w:hyperlink r:id="rId4" w:tooltip="Άρθρα με ετικέτα 2345/1995" w:history="1">
        <w:r w:rsidRPr="00AE45C6">
          <w:rPr>
            <w:rStyle w:val="-"/>
            <w:rFonts w:asciiTheme="minorHAnsi" w:hAnsiTheme="minorHAnsi" w:cstheme="minorHAnsi"/>
            <w:color w:val="000000" w:themeColor="text1"/>
            <w:u w:val="none"/>
            <w:bdr w:val="none" w:sz="0" w:space="0" w:color="auto" w:frame="1"/>
          </w:rPr>
          <w:t>2345/1995</w:t>
        </w:r>
      </w:hyperlink>
      <w:r w:rsidRPr="00AE45C6">
        <w:rPr>
          <w:rFonts w:asciiTheme="minorHAnsi" w:hAnsiTheme="minorHAnsi" w:cstheme="minorHAnsi"/>
          <w:color w:val="000000" w:themeColor="text1"/>
        </w:rPr>
        <w:t> (Α΄213).</w:t>
      </w:r>
    </w:p>
    <w:p w:rsidR="00F60316" w:rsidRDefault="00766171" w:rsidP="00F60316">
      <w:pPr>
        <w:pStyle w:val="Web"/>
        <w:spacing w:before="0" w:beforeAutospacing="0" w:after="0" w:afterAutospacing="0"/>
        <w:jc w:val="both"/>
        <w:textAlignment w:val="baseline"/>
        <w:rPr>
          <w:rFonts w:asciiTheme="minorHAnsi" w:hAnsiTheme="minorHAnsi" w:cstheme="minorHAnsi"/>
          <w:color w:val="000000" w:themeColor="text1"/>
        </w:rPr>
      </w:pPr>
      <w:r w:rsidRPr="00AE45C6">
        <w:rPr>
          <w:rFonts w:asciiTheme="minorHAnsi" w:hAnsiTheme="minorHAnsi" w:cstheme="minorHAnsi"/>
          <w:color w:val="000000" w:themeColor="text1"/>
        </w:rPr>
        <w:t>2. Η μη συμμόρφωση με τις διατάξεις της παρούσας, καθώς και η κατά οποιονδήποτε τρόπο παρεμπόδιση του ελέγχου της εποπτεύουσας αρχής, επιφυλασσομένων των οικείων διατάξεων, συνεπάγεται άρση της άδειας ίδρυσης και λειτουργίας της Μονάδας Φ.Π.Α.Δ.</w:t>
      </w:r>
    </w:p>
    <w:p w:rsidR="00766171" w:rsidRPr="00AE45C6" w:rsidRDefault="00F60316" w:rsidP="00F60316">
      <w:pPr>
        <w:pStyle w:val="Web"/>
        <w:spacing w:before="0" w:beforeAutospacing="0" w:after="0" w:afterAutospacing="0"/>
        <w:jc w:val="both"/>
        <w:textAlignment w:val="baseline"/>
        <w:rPr>
          <w:rStyle w:val="a3"/>
          <w:rFonts w:asciiTheme="minorHAnsi" w:hAnsiTheme="minorHAnsi" w:cstheme="minorHAnsi"/>
          <w:color w:val="000000" w:themeColor="text1"/>
          <w:bdr w:val="none" w:sz="0" w:space="0" w:color="auto" w:frame="1"/>
          <w:shd w:val="clear" w:color="auto" w:fill="FFFFFF"/>
        </w:rPr>
      </w:pPr>
      <w:r w:rsidRPr="00AE45C6">
        <w:rPr>
          <w:rStyle w:val="a3"/>
          <w:rFonts w:asciiTheme="minorHAnsi" w:hAnsiTheme="minorHAnsi" w:cstheme="minorHAnsi"/>
          <w:color w:val="000000" w:themeColor="text1"/>
          <w:bdr w:val="none" w:sz="0" w:space="0" w:color="auto" w:frame="1"/>
          <w:shd w:val="clear" w:color="auto" w:fill="FFFFFF"/>
        </w:rPr>
        <w:t xml:space="preserve"> </w:t>
      </w:r>
    </w:p>
    <w:p w:rsidR="00766171" w:rsidRPr="00AE45C6" w:rsidRDefault="00766171" w:rsidP="00AE45C6">
      <w:pPr>
        <w:spacing w:after="0" w:line="240" w:lineRule="auto"/>
        <w:jc w:val="both"/>
        <w:rPr>
          <w:rStyle w:val="a3"/>
          <w:rFonts w:asciiTheme="minorHAnsi" w:hAnsiTheme="minorHAnsi" w:cstheme="minorHAnsi"/>
          <w:color w:val="000000" w:themeColor="text1"/>
          <w:sz w:val="24"/>
          <w:szCs w:val="24"/>
          <w:bdr w:val="none" w:sz="0" w:space="0" w:color="auto" w:frame="1"/>
          <w:shd w:val="clear" w:color="auto" w:fill="FFFFFF"/>
        </w:rPr>
      </w:pPr>
      <w:r w:rsidRPr="00AE45C6">
        <w:rPr>
          <w:rStyle w:val="a3"/>
          <w:rFonts w:asciiTheme="minorHAnsi" w:hAnsiTheme="minorHAnsi" w:cstheme="minorHAnsi"/>
          <w:color w:val="000000" w:themeColor="text1"/>
          <w:sz w:val="24"/>
          <w:szCs w:val="24"/>
          <w:bdr w:val="none" w:sz="0" w:space="0" w:color="auto" w:frame="1"/>
          <w:shd w:val="clear" w:color="auto" w:fill="FFFFFF"/>
        </w:rPr>
        <w:t>Ν.2345/1995</w:t>
      </w:r>
    </w:p>
    <w:p w:rsidR="00AE45C6" w:rsidRDefault="00766171" w:rsidP="00AE45C6">
      <w:pPr>
        <w:spacing w:after="0" w:line="240" w:lineRule="auto"/>
        <w:jc w:val="both"/>
        <w:rPr>
          <w:rStyle w:val="a3"/>
          <w:rFonts w:asciiTheme="minorHAnsi" w:hAnsiTheme="minorHAnsi" w:cstheme="minorHAnsi"/>
          <w:color w:val="000000" w:themeColor="text1"/>
          <w:sz w:val="24"/>
          <w:szCs w:val="24"/>
          <w:bdr w:val="none" w:sz="0" w:space="0" w:color="auto" w:frame="1"/>
          <w:shd w:val="clear" w:color="auto" w:fill="FFFFFF"/>
        </w:rPr>
      </w:pPr>
      <w:r w:rsidRPr="00AE45C6">
        <w:rPr>
          <w:rStyle w:val="a3"/>
          <w:rFonts w:asciiTheme="minorHAnsi" w:hAnsiTheme="minorHAnsi" w:cstheme="minorHAnsi"/>
          <w:color w:val="000000" w:themeColor="text1"/>
          <w:sz w:val="24"/>
          <w:szCs w:val="24"/>
          <w:bdr w:val="none" w:sz="0" w:space="0" w:color="auto" w:frame="1"/>
          <w:shd w:val="clear" w:color="auto" w:fill="FFFFFF"/>
        </w:rPr>
        <w:t>Άρθρο 1</w:t>
      </w:r>
    </w:p>
    <w:p w:rsidR="005543A9" w:rsidRPr="00AE45C6" w:rsidRDefault="00766171" w:rsidP="00AE45C6">
      <w:pPr>
        <w:spacing w:after="0" w:line="240" w:lineRule="auto"/>
        <w:jc w:val="both"/>
        <w:rPr>
          <w:rFonts w:asciiTheme="minorHAnsi" w:hAnsiTheme="minorHAnsi" w:cstheme="minorHAnsi"/>
          <w:color w:val="000000" w:themeColor="text1"/>
          <w:sz w:val="24"/>
          <w:szCs w:val="24"/>
        </w:rPr>
      </w:pPr>
      <w:r w:rsidRPr="00AE45C6">
        <w:rPr>
          <w:rFonts w:asciiTheme="minorHAnsi" w:hAnsiTheme="minorHAnsi" w:cstheme="minorHAnsi"/>
          <w:color w:val="000000" w:themeColor="text1"/>
          <w:sz w:val="24"/>
          <w:szCs w:val="24"/>
          <w:shd w:val="clear" w:color="auto" w:fill="FFFFFF"/>
        </w:rPr>
        <w:t>1.Σωματεία οργανισμοί, ιδρύματα, νομικά πρόσωπα ιδιωτικού δίκαιου, ενώσεις προσώπων και γενικά φορείς μη υπαγόμενοι στο δημόσιο τομέα, που ασκούν κοινωνική πρόνοια, καθώς και ιδιώτες, δεν επιτρέπεται να παρέχουν οργανωμένες κοινωνικές υπηρεσίες, που έχουν σχέση με την προστασία του παιδιού ή ατόμων με ειδικές ανάγκες (παιδιών και ενηλίκων) ή ηλικιωμένων ή ανιάτων ή χρονίως πασχόντων ατόμων ή να ασκούν παρεμφερείς δραστηριότητες, πριν από την έκδοση σχετικής άδειας λειτουργίας από την οικεία νομαρχιακή αυτοδιοίκηση.</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Εάν διαπιστωθεί λειτουργία χωρίς άδεια, ο νομάρχης υποχρεούται να εκδώσει απόφαση διακοπής της λειτουργίας, που εκτελείται από την οικεία αστυνομική αρχή. Σε περίπτωση μη συμμόρφωσης προς την απόφαση διακοπής της λειτουργίας, οι υπεύθυνοι τιμωρούνται με φυλάκιση τουλάχιστον ενός (1) έτους. Στο φορέα ή ιδιώτη που ασκεί τις δραστηριότητες της παρ</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1του άρθρου 1 χωρίς άδεια παρά την απόφαση διακοπής της λειτουργίας επιβάλλεται από τον αρμόδιο νομάρχη πρόστιμο ύψους πέντε (5) έως είκοσι (20) εκατομμυρίων δραχμών, που εισπράττεται κατά τις διατάξεις περί εισπράξεως δημοσίων εσόδων. Τα όρια των ως άνω προστίμων δύνανται να αυξάνονται με απόφαση του Υπουργού Υγείας και Πρόνοιας.</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2.Με αποφάσεις του Υπουργού Υγείας και Πρόνοιας, που δημοσιεύονται στην Εφημερίδα της Κυβερνήσεως, ορίζονται, με την επιφύλαξη των διατάξεων του Γενικού Οικοδομικού Κανονισμού και των Ειδικών Οικοδομικών Κανονισμών, που ισχύουν στην περιφέρεια, οι προϋποθέσεις για την ίδρυση και λειτουργία φορέων κοινωνικής πρόνοιας ιδιωτικού δικαίου, κατά κατηγορία φορέων, ως προς τα εξυπηρετούμενα πρόσωπα και το περιεχόμενο των παρεχόμενων προς αυτά υπηρεσιών και ευκολιών, τους απαιτούμενους γενικά χώρους και τα θέματα της κατάλληλης διαρρύθμισης των κτιρίων, ως και ειδικότερα τα της επιφανείας των χώρων εγκαταστάσεων υγιεινής.</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 xml:space="preserve">μηχανολογικών, ηλεκτρολογικών, ψυχαγωγίας, απασχόλησης και λοιπών βοηθητικών (εστιάσεως. μαγειρείων, πλυντηρίων κ.λπ.) κοινόχρηστων και </w:t>
      </w:r>
      <w:r w:rsidRPr="00AE45C6">
        <w:rPr>
          <w:rFonts w:asciiTheme="minorHAnsi" w:hAnsiTheme="minorHAnsi" w:cstheme="minorHAnsi"/>
          <w:color w:val="000000" w:themeColor="text1"/>
          <w:sz w:val="24"/>
          <w:szCs w:val="24"/>
          <w:shd w:val="clear" w:color="auto" w:fill="FFFFFF"/>
        </w:rPr>
        <w:lastRenderedPageBreak/>
        <w:t xml:space="preserve">ακάλυπτων χωρών, τον εξοπλισμό και τη στελέχωση τους τόσο </w:t>
      </w:r>
      <w:proofErr w:type="spellStart"/>
      <w:r w:rsidRPr="00AE45C6">
        <w:rPr>
          <w:rFonts w:asciiTheme="minorHAnsi" w:hAnsiTheme="minorHAnsi" w:cstheme="minorHAnsi"/>
          <w:color w:val="000000" w:themeColor="text1"/>
          <w:sz w:val="24"/>
          <w:szCs w:val="24"/>
          <w:shd w:val="clear" w:color="auto" w:fill="FFFFFF"/>
        </w:rPr>
        <w:t>κοϋοσον</w:t>
      </w:r>
      <w:proofErr w:type="spellEnd"/>
      <w:r w:rsidRPr="00AE45C6">
        <w:rPr>
          <w:rFonts w:asciiTheme="minorHAnsi" w:hAnsiTheme="minorHAnsi" w:cstheme="minorHAnsi"/>
          <w:color w:val="000000" w:themeColor="text1"/>
          <w:sz w:val="24"/>
          <w:szCs w:val="24"/>
          <w:shd w:val="clear" w:color="auto" w:fill="FFFFFF"/>
        </w:rPr>
        <w:t xml:space="preserve"> αφορά τον αναγκαίο αριθμό προσώπων όσο και τα απαιτούμενα ειδικότερα προσόντα (τίτλους σπουδών, ειδικότητας, εμπειρίας κ.λπ.). Με τις ίδιες αποφάσεις ορίζονται οι υπεύθυνοι για τη σύμφωνα με το νόμο λειτουργία, ο τρόπος άσκησης της εποπτείας και της επιστημονικής αξιολόγησης του έργου τους από τις υπηρεσίες του Υπουργείου και τις οικείες νομαρχιακές αυτοδιοικήσεις, τα απαιτούμενα δικαιολογητικά και κάθε σχετική λεπτομέρεια. Μέχρι την έκδοση των παραπάνω αποφάσεων εξακολουθούν να ισχύουν οι διατάξεις που ίσχυαν πριν από τη δημοσίευση του παρόντος νόμου.</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3.Με αποφάσεις, που εκδίδονται από τους Υπουργούς Εσωτερικών, Δημόσιος Διοίκησης και Αποκέντρωσης και Υγείας και Πρόνοιας και δημοσιεύονται στην Εφημερίδα της Κυβερνήσεως, ορίζονται τα της συστάσεως και λειτουργίας πρωτοβάθμιων και δευτεροβάθμιων επιτροπών που θα αποφαίνονται για την καταλληλότητα των χώρων και τις άλλες προϋποθέσεις που απαιτούνται για τη λήψη άδειας λειτουργίας κατά τις διατάξεις του παρόντος νόμου.</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 xml:space="preserve">' Μέχρι την έκδοση των ως άνω αποφάσεων ισχύουν οι υπάρχουσες διατάξεις. </w:t>
      </w:r>
      <w:proofErr w:type="spellStart"/>
      <w:r w:rsidRPr="00AE45C6">
        <w:rPr>
          <w:rFonts w:asciiTheme="minorHAnsi" w:hAnsiTheme="minorHAnsi" w:cstheme="minorHAnsi"/>
          <w:color w:val="000000" w:themeColor="text1"/>
          <w:sz w:val="24"/>
          <w:szCs w:val="24"/>
          <w:shd w:val="clear" w:color="auto" w:fill="FFFFFF"/>
        </w:rPr>
        <w:t>Οπου</w:t>
      </w:r>
      <w:proofErr w:type="spellEnd"/>
      <w:r w:rsidRPr="00AE45C6">
        <w:rPr>
          <w:rFonts w:asciiTheme="minorHAnsi" w:hAnsiTheme="minorHAnsi" w:cstheme="minorHAnsi"/>
          <w:color w:val="000000" w:themeColor="text1"/>
          <w:sz w:val="24"/>
          <w:szCs w:val="24"/>
          <w:shd w:val="clear" w:color="auto" w:fill="FFFFFF"/>
        </w:rPr>
        <w:t xml:space="preserve"> στις ισχύουσες κατά την έκδοση του παρόντος νόμου διατάξεις προβλέπεται κρίση ή γνωμοδότηση επιτροπής, οι ενδιαφερόμενοι μπορούν εφεξής να προσφεύγουν σε δευτεροβάθμια επιτροπή που θα συσταθεί σε κάθε νομό με απόφαση του οικείου νομάρχη και θα αποτελείται από τους προϊσταμένους των τεχνικών υπηρεσιών, των υπηρεσιών υγιεινής και των υπηρεσιών πρόνοιας του νομού και ανά έναν εκπρόσωπο του οικείου δικηγορικού συλλόγου και τεχνικού επιμελητηρίου.</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Η προσφυγή ασκείται μέσα σε προθεσμία δέκα (10) ημερών από την κοινοποίηση ή με άλλον τρόπο γνώση της προσβαλλόμενης πράξης. Με την ίδια απόφαση ορίζονται ο πρόεδρος της επιτροπής και τα αναπληρωματικά της μέλη και καθορίζεται κάθε λεπτομέρεια αναγκαία για τη λειτουργία των επιτροπών αυτών</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4.Με απόφαση του νομάρχη ορίζεται σε κάθε νομαρχιακή αυτοδιοίκηση ένας κοινωνικός λειτουργός ή άλλος κοινωνικός επιστήμονας που υπηρετεί σε αυτή ως κοινωνικός σύμβουλος. Ο κοινωνικός σύμβουλος ασκεί επίβλεψη και συνεχή παρακολούθηση των υπηρεσιών που παρέχονται από τους ιδιώτες και τους φορείς της παρ. 1 του παρόντος άρθρου και του άρθρου 3 του παρόντος νόμου ως προς την ποιότητα και την επάρκεια αυτών.</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Οι λεπτομέρειες της εφαρμογής του προηγούμενου εδαφίου καθορίζονται με απόφαση του Υπουργού Υγείας και Πρόνοιας.</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5.Οι οίκοι ευγηρίας, τα "Γηροκομεία' και οι με άλλες ονομασίες λειτουργούσες επιχειρήσεις κλειστής περίθαλψης και φροντίδας ηλικιωμένων μετονομάζονται σε "Μονάδες Φροντίδας Ηλικιωμένων' και οι άδειες λειτουργίας θα εκδίδονται εφεξής μόνο με τη χρήση αυτού του τίτλου.</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Οι ήδη λειτουργούσες επιχειρήσεις του προηγούμενου εδαφίου οφείλουν εντός προθεσμίας έξι (6) μηνών από την ισχύ του παρόντος νόμου να συμμορφωθούν. Η μη συμμόρφωση συνιστά παράβαση των όρων άδειας λειτουργίας και τιμωρείται, εφαρμοζομένων αναλόγως των κυρώσεων, που προβλέπονται από τον παρόντα νόμο.</w:t>
      </w:r>
      <w:r w:rsidRPr="00AE45C6">
        <w:rPr>
          <w:rFonts w:asciiTheme="minorHAnsi" w:hAnsiTheme="minorHAnsi" w:cstheme="minorHAnsi"/>
          <w:color w:val="000000" w:themeColor="text1"/>
          <w:sz w:val="24"/>
          <w:szCs w:val="24"/>
        </w:rPr>
        <w:br/>
      </w:r>
      <w:r w:rsidRPr="00AE45C6">
        <w:rPr>
          <w:rFonts w:asciiTheme="minorHAnsi" w:hAnsiTheme="minorHAnsi" w:cstheme="minorHAnsi"/>
          <w:color w:val="000000" w:themeColor="text1"/>
          <w:sz w:val="24"/>
          <w:szCs w:val="24"/>
          <w:shd w:val="clear" w:color="auto" w:fill="FFFFFF"/>
        </w:rPr>
        <w:t>6.Οι διατάξεις του παρόντος νόμου εφαρμόζονται αναλόγως και για τις εξοχές παιδιών και ηλικιωμένων και τις οικογενειακές κατασκηνώσεις (θέρετρα), καθώς επίσης και για κατασκηνώσεις που λειτουργούν χωρίς άδεια λειτουργίας ή δεν πληρούν τις νόμιμες προϋποθέσεις λειτουργίας τους.</w:t>
      </w:r>
      <w:bookmarkStart w:id="0" w:name="_GoBack"/>
      <w:bookmarkEnd w:id="0"/>
    </w:p>
    <w:sectPr w:rsidR="005543A9" w:rsidRPr="00AE45C6" w:rsidSect="005543A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71"/>
    <w:rsid w:val="00273489"/>
    <w:rsid w:val="0031688C"/>
    <w:rsid w:val="005543A9"/>
    <w:rsid w:val="00766171"/>
    <w:rsid w:val="00AE45C6"/>
    <w:rsid w:val="00F603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4CE5"/>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3A9"/>
    <w:pPr>
      <w:spacing w:after="200" w:line="276" w:lineRule="auto"/>
    </w:pPr>
    <w:rPr>
      <w:sz w:val="22"/>
      <w:szCs w:val="22"/>
      <w:lang w:eastAsia="en-US"/>
    </w:rPr>
  </w:style>
  <w:style w:type="paragraph" w:styleId="1">
    <w:name w:val="heading 1"/>
    <w:basedOn w:val="a"/>
    <w:link w:val="1Char"/>
    <w:uiPriority w:val="9"/>
    <w:qFormat/>
    <w:rsid w:val="00766171"/>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6171"/>
    <w:rPr>
      <w:b/>
      <w:bCs/>
    </w:rPr>
  </w:style>
  <w:style w:type="paragraph" w:styleId="Web">
    <w:name w:val="Normal (Web)"/>
    <w:basedOn w:val="a"/>
    <w:uiPriority w:val="99"/>
    <w:unhideWhenUsed/>
    <w:rsid w:val="00766171"/>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766171"/>
    <w:rPr>
      <w:color w:val="0000FF"/>
      <w:u w:val="single"/>
    </w:rPr>
  </w:style>
  <w:style w:type="character" w:customStyle="1" w:styleId="1Char">
    <w:name w:val="Επικεφαλίδα 1 Char"/>
    <w:basedOn w:val="a0"/>
    <w:link w:val="1"/>
    <w:uiPriority w:val="9"/>
    <w:rsid w:val="00766171"/>
    <w:rPr>
      <w:rFonts w:ascii="Times New Roman" w:eastAsia="Times New Roman" w:hAnsi="Times New Roman" w:cs="Times New Roman"/>
      <w:b/>
      <w:bCs/>
      <w:kern w:val="36"/>
      <w:sz w:val="48"/>
      <w:szCs w:val="48"/>
      <w:lang w:eastAsia="el-GR"/>
    </w:rPr>
  </w:style>
  <w:style w:type="paragraph" w:customStyle="1" w:styleId="elxcontentsubtitle">
    <w:name w:val="elx_content_subtitle"/>
    <w:basedOn w:val="a"/>
    <w:rsid w:val="00766171"/>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2123">
      <w:bodyDiv w:val="1"/>
      <w:marLeft w:val="0"/>
      <w:marRight w:val="0"/>
      <w:marTop w:val="0"/>
      <w:marBottom w:val="0"/>
      <w:divBdr>
        <w:top w:val="none" w:sz="0" w:space="0" w:color="auto"/>
        <w:left w:val="none" w:sz="0" w:space="0" w:color="auto"/>
        <w:bottom w:val="none" w:sz="0" w:space="0" w:color="auto"/>
        <w:right w:val="none" w:sz="0" w:space="0" w:color="auto"/>
      </w:divBdr>
      <w:divsChild>
        <w:div w:id="555823746">
          <w:marLeft w:val="0"/>
          <w:marRight w:val="0"/>
          <w:marTop w:val="0"/>
          <w:marBottom w:val="0"/>
          <w:divBdr>
            <w:top w:val="none" w:sz="0" w:space="0" w:color="auto"/>
            <w:left w:val="none" w:sz="0" w:space="0" w:color="auto"/>
            <w:bottom w:val="none" w:sz="0" w:space="0" w:color="auto"/>
            <w:right w:val="none" w:sz="0" w:space="0" w:color="auto"/>
          </w:divBdr>
        </w:div>
      </w:divsChild>
    </w:div>
    <w:div w:id="15517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omothesia.gr/tags.html?tag=2345%2F199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940</Words>
  <Characters>5077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Lampros Tsogkas</Company>
  <LinksUpToDate>false</LinksUpToDate>
  <CharactersWithSpaces>6005</CharactersWithSpaces>
  <SharedDoc>false</SharedDoc>
  <HLinks>
    <vt:vector size="6" baseType="variant">
      <vt:variant>
        <vt:i4>2031688</vt:i4>
      </vt:variant>
      <vt:variant>
        <vt:i4>0</vt:i4>
      </vt:variant>
      <vt:variant>
        <vt:i4>0</vt:i4>
      </vt:variant>
      <vt:variant>
        <vt:i4>5</vt:i4>
      </vt:variant>
      <vt:variant>
        <vt:lpwstr>https://www.e-nomothesia.gr/tags.html?tag=2345%2F1995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4</cp:revision>
  <dcterms:created xsi:type="dcterms:W3CDTF">2025-02-27T08:45:00Z</dcterms:created>
  <dcterms:modified xsi:type="dcterms:W3CDTF">2025-03-04T08:11:00Z</dcterms:modified>
</cp:coreProperties>
</file>